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28"/>
          <w:szCs w:val="28"/>
        </w:rPr>
        <w:t>附件1：</w:t>
      </w:r>
      <w:r>
        <w:rPr>
          <w:rFonts w:hint="eastAsia"/>
          <w:b/>
          <w:sz w:val="32"/>
          <w:szCs w:val="32"/>
        </w:rPr>
        <w:t xml:space="preserve">       </w:t>
      </w:r>
    </w:p>
    <w:p>
      <w:pPr>
        <w:spacing w:line="360" w:lineRule="auto"/>
        <w:jc w:val="center"/>
        <w:rPr>
          <w:rFonts w:hint="eastAsia"/>
          <w:b/>
          <w:sz w:val="36"/>
          <w:szCs w:val="36"/>
        </w:rPr>
      </w:pP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6"/>
          <w:szCs w:val="36"/>
        </w:rPr>
        <w:t>2023年广西工商职业技术学院财务大数据应用比赛规程</w:t>
      </w:r>
    </w:p>
    <w:p>
      <w:pPr>
        <w:spacing w:line="360" w:lineRule="auto"/>
        <w:ind w:firstLine="480" w:firstLineChars="200"/>
        <w:jc w:val="left"/>
        <w:rPr>
          <w:sz w:val="24"/>
        </w:rPr>
      </w:pPr>
    </w:p>
    <w:p>
      <w:pPr>
        <w:numPr>
          <w:ilvl w:val="0"/>
          <w:numId w:val="1"/>
        </w:numPr>
        <w:spacing w:line="360" w:lineRule="auto"/>
        <w:ind w:firstLine="482" w:firstLineChars="200"/>
        <w:jc w:val="left"/>
        <w:rPr>
          <w:rFonts w:hint="eastAsia"/>
          <w:sz w:val="24"/>
        </w:rPr>
      </w:pPr>
      <w:r>
        <w:rPr>
          <w:rFonts w:hint="eastAsia"/>
          <w:b/>
          <w:sz w:val="24"/>
        </w:rPr>
        <w:t>竞赛项目名称</w:t>
      </w:r>
    </w:p>
    <w:p>
      <w:pPr>
        <w:spacing w:line="360" w:lineRule="auto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财务大数据应用</w:t>
      </w:r>
    </w:p>
    <w:p>
      <w:pPr>
        <w:numPr>
          <w:ilvl w:val="0"/>
          <w:numId w:val="1"/>
        </w:numPr>
        <w:spacing w:line="360" w:lineRule="auto"/>
        <w:ind w:firstLine="482" w:firstLineChars="200"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参赛对象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全体2022级、2023级在校全日制学生</w:t>
      </w:r>
    </w:p>
    <w:p>
      <w:pPr>
        <w:spacing w:line="360" w:lineRule="auto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三、竞赛方式与内容</w:t>
      </w:r>
    </w:p>
    <w:p>
      <w:pPr>
        <w:autoSpaceDE w:val="0"/>
        <w:autoSpaceDN w:val="0"/>
        <w:adjustRightInd w:val="0"/>
        <w:snapToGrid w:val="0"/>
        <w:spacing w:line="360" w:lineRule="exact"/>
        <w:ind w:right="168" w:rightChars="80"/>
        <w:jc w:val="left"/>
        <w:rPr>
          <w:rFonts w:hint="eastAsia" w:ascii="宋体" w:hAnsi="宋体"/>
          <w:sz w:val="24"/>
        </w:rPr>
      </w:pPr>
      <w:r>
        <w:rPr>
          <w:rFonts w:hint="eastAsia"/>
          <w:sz w:val="24"/>
        </w:rPr>
        <w:t>（一）竞赛方式：</w:t>
      </w:r>
      <w:r>
        <w:rPr>
          <w:rFonts w:hint="eastAsia" w:ascii="宋体" w:hAnsi="宋体"/>
          <w:sz w:val="24"/>
        </w:rPr>
        <w:t>实行团体赛（4人一组），采用新道软件，按团体总分由高到低排名。</w:t>
      </w:r>
    </w:p>
    <w:p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（二）竞赛内容：</w:t>
      </w:r>
      <w:r>
        <w:rPr>
          <w:rFonts w:hint="eastAsia" w:ascii="宋体" w:hAnsi="宋体"/>
          <w:sz w:val="24"/>
        </w:rPr>
        <w:t>考核学生管理会计、成本会计、财务管理等核心专业技能及职业素养。</w:t>
      </w:r>
    </w:p>
    <w:p>
      <w:pPr>
        <w:spacing w:line="360" w:lineRule="auto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四、竞赛目的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4"/>
        </w:rPr>
        <w:t>为进一步深化学院教育教学改革，加强技能人才的培养，提高人才培养质量，培养“财务数字化”人才，无缝对接数字经济发展需求，借助竞赛平台，使课堂教学过程与会计岗位工作过程相对接，为教师在施教过程中提供新的教学方法，以竞赛促进财经类专业实训教学，增强教学的参与性和趣味性，既提供了融课堂实训教学与课外技能训练相结合的载体，也为锻炼培养财经类专业学生企业会计岗位真实工作能力，提高学生就业与创业综合素质。</w:t>
      </w:r>
    </w:p>
    <w:p>
      <w:pPr>
        <w:spacing w:line="360" w:lineRule="auto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五、竞赛规则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1、参赛选手应认真学习领会本次竞赛相关文件，自觉遵守大赛纪律，服从指挥，听从安排，文明参赛。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2、严禁参赛选手携带与竞赛无关的电子设备、通讯设备及其他相关资料与用品入场。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3、参赛选手应提前15分钟到达赛场，凭学生证，按要求入场，不得迟到早退。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4、参赛选手应按有关要求在指定位置就坐。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5、竞赛时间终了，选手应全体起立，结束操作。将草稿纸摆放在操作平台上，经工作人员清点后方可离开赛场。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6、参赛选手若对赛事有异议，可按规程提出书面申诉。</w:t>
      </w:r>
    </w:p>
    <w:p>
      <w:pPr>
        <w:spacing w:line="360" w:lineRule="auto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六、竞赛场地与设备</w:t>
      </w:r>
    </w:p>
    <w:p>
      <w:pPr>
        <w:spacing w:line="360" w:lineRule="auto"/>
        <w:ind w:firstLine="482" w:firstLineChars="200"/>
        <w:jc w:val="left"/>
        <w:rPr>
          <w:sz w:val="28"/>
          <w:szCs w:val="28"/>
          <w:highlight w:val="red"/>
        </w:rPr>
      </w:pPr>
      <w:r>
        <w:rPr>
          <w:rFonts w:hint="eastAsia"/>
          <w:b/>
          <w:sz w:val="24"/>
        </w:rPr>
        <w:t>计算机房：A2-604   A3-601</w:t>
      </w:r>
    </w:p>
    <w:p>
      <w:pPr>
        <w:spacing w:line="360" w:lineRule="auto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七、评分办法与标准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成绩评定由赛项裁判组负责。</w:t>
      </w:r>
    </w:p>
    <w:p>
      <w:pPr>
        <w:spacing w:line="360" w:lineRule="auto"/>
        <w:ind w:firstLine="482" w:firstLineChars="200"/>
        <w:jc w:val="left"/>
        <w:textAlignment w:val="baseline"/>
        <w:rPr>
          <w:b/>
          <w:sz w:val="24"/>
        </w:rPr>
      </w:pPr>
      <w:r>
        <w:rPr>
          <w:rFonts w:hint="eastAsia"/>
          <w:b/>
          <w:sz w:val="24"/>
        </w:rPr>
        <w:t>八、赛前练习</w:t>
      </w:r>
    </w:p>
    <w:p>
      <w:pPr>
        <w:spacing w:line="360" w:lineRule="auto"/>
        <w:ind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报名结束后，会给同学们下发训练账号，注意事项及操作步骤如下：</w:t>
      </w:r>
    </w:p>
    <w:p>
      <w:pPr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</w:t>
      </w:r>
      <w:r>
        <w:rPr>
          <w:rFonts w:ascii="宋体" w:hAnsi="宋体" w:cs="宋体"/>
          <w:sz w:val="24"/>
        </w:rPr>
        <w:t>需用学校内网（办公室及机房）进行登录练习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2、比赛平台网址：</w:t>
      </w:r>
      <w:r>
        <w:rPr>
          <w:rFonts w:ascii="宋体" w:hAnsi="宋体" w:cs="宋体"/>
          <w:sz w:val="24"/>
        </w:rPr>
        <w:t>http://10.30.200.203:82/cpweb/</w:t>
      </w:r>
    </w:p>
    <w:p>
      <w:pPr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</w:t>
      </w:r>
      <w:r>
        <w:rPr>
          <w:rFonts w:hint="eastAsia" w:ascii="宋体" w:hAnsi="宋体" w:cs="宋体"/>
          <w:sz w:val="24"/>
        </w:rPr>
        <w:t>、登录“新道财务数字化赛”平台</w:t>
      </w:r>
    </w:p>
    <w:p>
      <w:pPr>
        <w:spacing w:line="360" w:lineRule="auto"/>
        <w:jc w:val="left"/>
        <w:textAlignment w:val="baseline"/>
        <w:rPr>
          <w:sz w:val="24"/>
        </w:rPr>
      </w:pPr>
      <w:r>
        <w:drawing>
          <wp:inline distT="0" distB="0" distL="114300" distR="114300">
            <wp:extent cx="4217035" cy="1974215"/>
            <wp:effectExtent l="0" t="0" r="1206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textAlignment w:val="baseline"/>
      </w:pPr>
      <w:r>
        <w:rPr>
          <w:rFonts w:hint="eastAsia" w:ascii="宋体" w:hAnsi="宋体" w:cs="宋体"/>
          <w:sz w:val="24"/>
        </w:rPr>
        <w:t>4、各组拿到训练账号后，团队自行分配相应的岗位进入训练，分别设置四个岗位：成本管理、绩效管理、营运管理、资金管理。</w:t>
      </w:r>
      <w:r>
        <w:drawing>
          <wp:inline distT="0" distB="0" distL="114300" distR="114300">
            <wp:extent cx="4241800" cy="2443480"/>
            <wp:effectExtent l="0" t="0" r="635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476427"/>
    <w:multiLevelType w:val="singleLevel"/>
    <w:tmpl w:val="1D4764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MzUzZmU0NTdmYTcxZTFmM2QyMjBkZTAxNDc3YWMifQ=="/>
  </w:docVars>
  <w:rsids>
    <w:rsidRoot w:val="439C4953"/>
    <w:rsid w:val="439C4953"/>
    <w:rsid w:val="7086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2023-12-21T07:10:00Z</dcterms:created>
  <dc:creator>CHENPENG8002</dc:creator>
  <cp:lastModifiedBy>CHENPENG8002</cp:lastModifiedBy>
  <dcterms:modified xsi:type="dcterms:W3CDTF">2023-12-21T07:13:16Z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CAEAACCCD1E0427BB7206F2E086E57BC_11</vt:lpwstr>
  </property>
</Properties>
</file>