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0"/>
        <w:spacing w:line="1000" w:lineRule="exact"/>
        <w:rPr>
          <w:rFonts w:ascii="黑体" w:hAnsi="宋体" w:eastAsia="黑体"/>
          <w:color w:val="auto"/>
          <w:sz w:val="84"/>
          <w:szCs w:val="84"/>
        </w:rPr>
      </w:pPr>
      <w:r>
        <w:rPr>
          <w:color w:val="auto"/>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color w:val="auto"/>
          <w:sz w:val="84"/>
          <w:szCs w:val="84"/>
        </w:rPr>
      </w:pPr>
    </w:p>
    <w:p>
      <w:pPr>
        <w:pStyle w:val="10"/>
        <w:spacing w:line="1000" w:lineRule="exact"/>
        <w:jc w:val="center"/>
        <w:outlineLvl w:val="0"/>
        <w:rPr>
          <w:rFonts w:ascii="黑体" w:hAnsi="宋体" w:eastAsia="黑体"/>
          <w:color w:val="auto"/>
          <w:sz w:val="84"/>
          <w:szCs w:val="84"/>
        </w:rPr>
      </w:pPr>
      <w:bookmarkStart w:id="0" w:name="_Toc23667"/>
      <w:r>
        <w:rPr>
          <w:rFonts w:hint="eastAsia" w:ascii="黑体" w:hAnsi="宋体" w:eastAsia="黑体"/>
          <w:color w:val="auto"/>
          <w:sz w:val="84"/>
          <w:szCs w:val="84"/>
        </w:rPr>
        <w:t>询价通知书</w:t>
      </w:r>
      <w:bookmarkEnd w:id="0"/>
    </w:p>
    <w:p>
      <w:pPr>
        <w:pStyle w:val="10"/>
        <w:spacing w:line="500" w:lineRule="exact"/>
        <w:jc w:val="center"/>
        <w:rPr>
          <w:rFonts w:hAnsi="宋体"/>
          <w:color w:val="auto"/>
        </w:rPr>
      </w:pPr>
    </w:p>
    <w:p>
      <w:pPr>
        <w:pStyle w:val="10"/>
        <w:spacing w:line="500" w:lineRule="exact"/>
        <w:jc w:val="center"/>
        <w:rPr>
          <w:rFonts w:hAnsi="宋体"/>
          <w:color w:val="auto"/>
        </w:rPr>
      </w:pPr>
      <w:r>
        <w:rPr>
          <w:rFonts w:hAnsi="宋体"/>
          <w:color w:val="auto"/>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spacing w:line="900" w:lineRule="exact"/>
        <w:ind w:firstLine="361" w:firstLineChars="100"/>
        <w:rPr>
          <w:rFonts w:hint="eastAsia" w:ascii="仿宋" w:hAnsi="仿宋" w:eastAsia="仿宋" w:cs="仿宋"/>
          <w:color w:val="auto"/>
          <w:kern w:val="0"/>
          <w:sz w:val="36"/>
          <w:szCs w:val="36"/>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武鸣校区教师公寓2栋空调安装辅材采购项目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广西工商职业技术学院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6"/>
          <w:szCs w:val="36"/>
          <w:u w:val="single"/>
        </w:rPr>
        <w:t>202</w:t>
      </w:r>
      <w:r>
        <w:rPr>
          <w:rFonts w:hint="eastAsia" w:ascii="仿宋" w:hAnsi="仿宋" w:eastAsia="仿宋" w:cs="仿宋"/>
          <w:color w:val="auto"/>
          <w:sz w:val="36"/>
          <w:szCs w:val="36"/>
          <w:u w:val="single"/>
          <w:lang w:val="en-US" w:eastAsia="zh-CN"/>
        </w:rPr>
        <w:t>3</w:t>
      </w:r>
      <w:r>
        <w:rPr>
          <w:rFonts w:hint="eastAsia" w:ascii="仿宋" w:hAnsi="仿宋" w:eastAsia="仿宋" w:cs="仿宋"/>
          <w:color w:val="auto"/>
          <w:sz w:val="36"/>
          <w:szCs w:val="36"/>
          <w:u w:val="single"/>
        </w:rPr>
        <w:t>年</w:t>
      </w:r>
      <w:r>
        <w:rPr>
          <w:rFonts w:hint="eastAsia" w:ascii="仿宋" w:hAnsi="仿宋" w:eastAsia="仿宋" w:cs="仿宋"/>
          <w:color w:val="auto"/>
          <w:sz w:val="36"/>
          <w:szCs w:val="36"/>
          <w:u w:val="single"/>
          <w:lang w:val="en-US" w:eastAsia="zh-CN"/>
        </w:rPr>
        <w:t>8</w:t>
      </w:r>
      <w:r>
        <w:rPr>
          <w:rFonts w:hint="eastAsia" w:ascii="仿宋" w:hAnsi="仿宋" w:eastAsia="仿宋" w:cs="仿宋"/>
          <w:color w:val="auto"/>
          <w:sz w:val="36"/>
          <w:szCs w:val="36"/>
          <w:u w:val="single"/>
        </w:rPr>
        <w:t xml:space="preserve">月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b/>
              <w:bCs/>
              <w:color w:val="auto"/>
              <w:sz w:val="32"/>
              <w:szCs w:val="32"/>
            </w:rPr>
          </w:pPr>
          <w:r>
            <w:rPr>
              <w:rFonts w:hint="eastAsia" w:ascii="宋体" w:hAnsi="宋体" w:eastAsia="宋体" w:cs="宋体"/>
              <w:b/>
              <w:bCs/>
              <w:color w:val="auto"/>
              <w:sz w:val="32"/>
              <w:szCs w:val="32"/>
            </w:rPr>
            <w:t>目录</w:t>
          </w:r>
        </w:p>
        <w:p>
          <w:pPr>
            <w:pStyle w:val="74"/>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w:t>
          </w:r>
          <w:r>
            <w:rPr>
              <w:rFonts w:hint="eastAsia" w:ascii="宋体" w:hAnsi="宋体" w:cs="宋体"/>
              <w:bCs/>
              <w:color w:val="auto"/>
              <w:sz w:val="32"/>
              <w:szCs w:val="32"/>
              <w:lang w:eastAsia="zh-CN"/>
            </w:rPr>
            <w:t>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6</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7</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15</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2"/>
        <w:ind w:firstLine="2800" w:firstLineChars="700"/>
        <w:jc w:val="both"/>
        <w:rPr>
          <w:rFonts w:hint="eastAsia"/>
          <w:b w:val="0"/>
          <w:bCs/>
          <w:color w:val="auto"/>
          <w:sz w:val="40"/>
          <w:szCs w:val="22"/>
        </w:rPr>
      </w:pPr>
      <w:bookmarkStart w:id="1" w:name="_Toc4522"/>
      <w:r>
        <w:rPr>
          <w:rFonts w:hint="eastAsia"/>
          <w:b w:val="0"/>
          <w:bCs/>
          <w:color w:val="auto"/>
          <w:sz w:val="40"/>
          <w:szCs w:val="22"/>
        </w:rPr>
        <w:br w:type="textWrapping"/>
      </w:r>
    </w:p>
    <w:p>
      <w:pPr>
        <w:jc w:val="center"/>
        <w:rPr>
          <w:rFonts w:hint="eastAsia"/>
          <w:b w:val="0"/>
          <w:bCs/>
          <w:color w:val="auto"/>
          <w:sz w:val="40"/>
          <w:szCs w:val="22"/>
        </w:rPr>
      </w:pPr>
      <w:r>
        <w:rPr>
          <w:rFonts w:hint="eastAsia"/>
          <w:b w:val="0"/>
          <w:bCs/>
          <w:color w:val="auto"/>
          <w:sz w:val="40"/>
          <w:szCs w:val="22"/>
        </w:rPr>
        <w:br w:type="page"/>
      </w:r>
    </w:p>
    <w:p>
      <w:pPr>
        <w:pStyle w:val="2"/>
        <w:ind w:firstLine="2800" w:firstLineChars="700"/>
        <w:jc w:val="left"/>
        <w:rPr>
          <w:rFonts w:hint="eastAsia" w:eastAsia="宋体" w:asciiTheme="majorEastAsia" w:hAnsiTheme="majorEastAsia" w:cstheme="minorBidi"/>
          <w:b/>
          <w:color w:val="auto"/>
          <w:sz w:val="36"/>
          <w:szCs w:val="36"/>
          <w:lang w:eastAsia="zh-CN"/>
        </w:rPr>
      </w:pPr>
      <w:r>
        <w:rPr>
          <w:rFonts w:hint="eastAsia"/>
          <w:b w:val="0"/>
          <w:bCs/>
          <w:color w:val="auto"/>
          <w:sz w:val="40"/>
          <w:szCs w:val="22"/>
        </w:rPr>
        <w:t>第一章 项目</w:t>
      </w:r>
      <w:bookmarkEnd w:id="1"/>
      <w:r>
        <w:rPr>
          <w:rFonts w:hint="eastAsia"/>
          <w:b w:val="0"/>
          <w:bCs/>
          <w:color w:val="auto"/>
          <w:sz w:val="40"/>
          <w:szCs w:val="22"/>
          <w:lang w:eastAsia="zh-CN"/>
        </w:rPr>
        <w:t>公告</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eastAsia="zh-CN"/>
        </w:rPr>
        <w:t>项目名称：</w:t>
      </w:r>
      <w:r>
        <w:rPr>
          <w:rFonts w:hint="eastAsia" w:asciiTheme="minorEastAsia" w:hAnsiTheme="minorEastAsia" w:eastAsiaTheme="minorEastAsia" w:cstheme="minorBidi"/>
          <w:color w:val="auto"/>
          <w:sz w:val="28"/>
          <w:szCs w:val="28"/>
        </w:rPr>
        <w:t>武鸣校区教师公寓2栋空调安装辅材采购项目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eastAsia="zh-CN"/>
        </w:rPr>
        <w:t>项目预算：</w:t>
      </w:r>
      <w:r>
        <w:rPr>
          <w:rFonts w:hint="eastAsia" w:asciiTheme="minorEastAsia" w:hAnsiTheme="minorEastAsia" w:eastAsiaTheme="minorEastAsia" w:cstheme="minorBidi"/>
          <w:color w:val="auto"/>
          <w:sz w:val="28"/>
          <w:szCs w:val="28"/>
        </w:rPr>
        <w:t>人民币</w:t>
      </w:r>
      <w:r>
        <w:rPr>
          <w:rFonts w:hint="eastAsia" w:asciiTheme="minorEastAsia" w:hAnsiTheme="minorEastAsia" w:eastAsiaTheme="minorEastAsia" w:cstheme="minorBidi"/>
          <w:color w:val="auto"/>
          <w:sz w:val="28"/>
          <w:szCs w:val="28"/>
          <w:lang w:val="en-US" w:eastAsia="zh-CN"/>
        </w:rPr>
        <w:t>伍万柒仟伍佰陆拾肆元整</w:t>
      </w:r>
      <w:r>
        <w:rPr>
          <w:rFonts w:hint="eastAsia" w:asciiTheme="minorEastAsia" w:hAnsiTheme="minorEastAsia" w:eastAsiaTheme="minorEastAsia" w:cstheme="minorBidi"/>
          <w:color w:val="auto"/>
          <w:sz w:val="28"/>
          <w:szCs w:val="28"/>
        </w:rPr>
        <w:t>（￥</w:t>
      </w:r>
      <w:r>
        <w:rPr>
          <w:rFonts w:hint="default" w:asciiTheme="minorEastAsia" w:hAnsiTheme="minorEastAsia" w:eastAsiaTheme="minorEastAsia" w:cstheme="minorBidi"/>
          <w:color w:val="auto"/>
          <w:sz w:val="28"/>
          <w:szCs w:val="28"/>
          <w:lang w:val="en-US"/>
        </w:rPr>
        <w:t>57,564.00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lang w:val="en-US" w:eastAsia="zh-CN"/>
        </w:rPr>
        <w:t>空调安装辅材1批</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hint="eastAsia" w:eastAsia="宋体" w:asciiTheme="minorEastAsia" w:hAnsiTheme="minorEastAsia"/>
          <w:color w:val="FF0000"/>
          <w:sz w:val="28"/>
          <w:szCs w:val="28"/>
          <w:lang w:eastAsia="zh-CN"/>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r>
        <w:rPr>
          <w:rFonts w:hint="eastAsia" w:asciiTheme="minorEastAsia" w:hAnsiTheme="minorEastAsia"/>
          <w:color w:val="auto"/>
          <w:sz w:val="28"/>
          <w:szCs w:val="28"/>
          <w:lang w:eastAsia="zh-CN"/>
        </w:rPr>
        <w:t>。</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w:t>
      </w:r>
      <w:r>
        <w:rPr>
          <w:rFonts w:hint="eastAsia" w:asciiTheme="minorEastAsia" w:hAnsiTheme="minorEastAsia" w:eastAsiaTheme="minorEastAsia" w:cstheme="minorBidi"/>
          <w:color w:val="auto"/>
          <w:sz w:val="28"/>
          <w:szCs w:val="28"/>
          <w:lang w:eastAsia="zh-CN"/>
        </w:rPr>
        <w:t>、</w:t>
      </w:r>
      <w:r>
        <w:rPr>
          <w:rFonts w:hint="eastAsia" w:asciiTheme="minorEastAsia" w:hAnsiTheme="minorEastAsia" w:eastAsiaTheme="minorEastAsia" w:cstheme="minorBidi"/>
          <w:color w:val="auto"/>
          <w:sz w:val="28"/>
          <w:szCs w:val="28"/>
        </w:rPr>
        <w:t>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院武鸣校区教师公寓2栋空调安装辅材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公告时间：2023年8月14</w:t>
      </w:r>
      <w:r>
        <w:rPr>
          <w:rFonts w:hint="eastAsia" w:asciiTheme="minorEastAsia" w:hAnsiTheme="minorEastAsia" w:eastAsiaTheme="minorEastAsia" w:cstheme="minorBidi"/>
          <w:color w:val="auto"/>
          <w:sz w:val="28"/>
          <w:szCs w:val="28"/>
          <w:lang w:eastAsia="zh-CN"/>
        </w:rPr>
        <w:t>日</w:t>
      </w:r>
      <w:r>
        <w:rPr>
          <w:rFonts w:hint="eastAsia" w:asciiTheme="minorEastAsia" w:hAnsiTheme="minorEastAsia" w:eastAsiaTheme="minorEastAsia" w:cstheme="minorBidi"/>
          <w:color w:val="auto"/>
          <w:sz w:val="28"/>
          <w:szCs w:val="28"/>
        </w:rPr>
        <w:t>-2023年8月16日。</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8</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16</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上午15</w:t>
      </w:r>
      <w:r>
        <w:rPr>
          <w:rFonts w:hint="eastAsia"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lang w:val="en-US" w:eastAsia="zh-CN"/>
        </w:rPr>
        <w:t>16</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0，逾期不再接收报名。</w:t>
      </w:r>
      <w:bookmarkStart w:id="16" w:name="_GoBack"/>
      <w:bookmarkEnd w:id="16"/>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吴</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p>
    <w:p>
      <w:pPr>
        <w:spacing w:line="360" w:lineRule="auto"/>
        <w:ind w:left="840" w:leftChars="200" w:hanging="420" w:hangingChars="150"/>
        <w:rPr>
          <w:rFonts w:hint="eastAsia"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广西工商职业技术学院武鸣校区教师公寓2栋空调安装辅材采购项目询价通知书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8</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14</w:t>
      </w:r>
      <w:r>
        <w:rPr>
          <w:rFonts w:hint="eastAsia" w:asciiTheme="minorEastAsia" w:hAnsiTheme="minorEastAsia" w:eastAsiaTheme="minorEastAsia" w:cstheme="minorBidi"/>
          <w:color w:val="auto"/>
          <w:sz w:val="28"/>
          <w:szCs w:val="28"/>
        </w:rPr>
        <w:t>日</w:t>
      </w:r>
    </w:p>
    <w:p>
      <w:pPr>
        <w:pStyle w:val="2"/>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left"/>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p>
    <w:p>
      <w:pPr>
        <w:jc w:val="left"/>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rFonts w:hint="eastAsia"/>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671"/>
        <w:gridCol w:w="1215"/>
        <w:gridCol w:w="5101"/>
        <w:gridCol w:w="771"/>
        <w:gridCol w:w="701"/>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center"/>
          </w:tcPr>
          <w:p>
            <w:pPr>
              <w:jc w:val="left"/>
              <w:rPr>
                <w:rFonts w:hint="eastAsia" w:ascii="宋体" w:hAnsi="宋体" w:eastAsia="宋体" w:cs="宋体"/>
                <w:b/>
                <w:sz w:val="24"/>
                <w:szCs w:val="24"/>
              </w:rPr>
            </w:pPr>
            <w:r>
              <w:rPr>
                <w:rFonts w:hint="eastAsia" w:ascii="宋体" w:hAnsi="宋体" w:eastAsia="宋体" w:cs="宋体"/>
                <w:color w:val="auto"/>
                <w:sz w:val="24"/>
                <w:szCs w:val="24"/>
              </w:rPr>
              <w:t>★</w:t>
            </w:r>
            <w:r>
              <w:rPr>
                <w:rFonts w:hint="eastAsia" w:ascii="宋体" w:hAnsi="宋体" w:eastAsia="宋体" w:cs="宋体"/>
                <w:b/>
                <w:sz w:val="24"/>
                <w:szCs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36"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采购内容</w:t>
            </w:r>
          </w:p>
        </w:tc>
        <w:tc>
          <w:tcPr>
            <w:tcW w:w="609"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参考品牌、型号</w:t>
            </w:r>
          </w:p>
        </w:tc>
        <w:tc>
          <w:tcPr>
            <w:tcW w:w="2560"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技术参数</w:t>
            </w:r>
          </w:p>
          <w:p>
            <w:pPr>
              <w:jc w:val="center"/>
              <w:rPr>
                <w:rFonts w:hint="eastAsia" w:ascii="宋体" w:hAnsi="宋体" w:eastAsia="宋体" w:cs="宋体"/>
                <w:sz w:val="24"/>
                <w:szCs w:val="24"/>
              </w:rPr>
            </w:pPr>
            <w:r>
              <w:rPr>
                <w:rFonts w:hint="eastAsia" w:ascii="宋体" w:hAnsi="宋体" w:eastAsia="宋体" w:cs="宋体"/>
                <w:sz w:val="24"/>
                <w:szCs w:val="24"/>
              </w:rPr>
              <w:t>（括性能、材料、结构、外观、安全，或者服务内容和标准）</w:t>
            </w:r>
          </w:p>
        </w:tc>
        <w:tc>
          <w:tcPr>
            <w:tcW w:w="386" w:type="pct"/>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单位</w:t>
            </w:r>
          </w:p>
        </w:tc>
        <w:tc>
          <w:tcPr>
            <w:tcW w:w="351"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358"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36" w:type="pct"/>
            <w:vMerge w:val="restar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空调辅材</w:t>
            </w:r>
          </w:p>
        </w:tc>
        <w:tc>
          <w:tcPr>
            <w:tcW w:w="609" w:type="pct"/>
            <w:noWrap w:val="0"/>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铜管</w:t>
            </w:r>
          </w:p>
        </w:tc>
        <w:tc>
          <w:tcPr>
            <w:tcW w:w="2560" w:type="pct"/>
            <w:noWrap w:val="0"/>
            <w:vAlign w:val="center"/>
          </w:tcPr>
          <w:p>
            <w:pPr>
              <w:keepNext w:val="0"/>
              <w:keepLines w:val="0"/>
              <w:widowControl/>
              <w:suppressLineNumbers w:val="0"/>
              <w:jc w:val="left"/>
              <w:textAlignment w:val="center"/>
              <w:rPr>
                <w:rFonts w:hint="eastAsia" w:ascii="宋体" w:hAnsi="宋体" w:eastAsia="宋体" w:cs="宋体"/>
                <w:sz w:val="24"/>
                <w:szCs w:val="24"/>
                <w:lang w:val="en-US"/>
              </w:rPr>
            </w:pPr>
            <w:r>
              <w:rPr>
                <w:rFonts w:hint="eastAsia" w:ascii="宋体" w:hAnsi="宋体" w:eastAsia="宋体" w:cs="宋体"/>
                <w:i w:val="0"/>
                <w:iCs w:val="0"/>
                <w:color w:val="000000"/>
                <w:kern w:val="0"/>
                <w:sz w:val="24"/>
                <w:szCs w:val="24"/>
                <w:u w:val="none"/>
                <w:lang w:val="en-US" w:eastAsia="zh-CN" w:bidi="ar"/>
              </w:rPr>
              <w:t>空调单机安装加装铜管，</w:t>
            </w:r>
            <w:r>
              <w:rPr>
                <w:rFonts w:hint="eastAsia" w:ascii="宋体" w:hAnsi="宋体" w:eastAsia="宋体" w:cs="宋体"/>
                <w:sz w:val="24"/>
                <w:szCs w:val="24"/>
                <w:lang w:val="en-US" w:eastAsia="zh-CN"/>
              </w:rPr>
              <w:t>适用于格力空调1.5匹挂机，</w:t>
            </w:r>
            <w:r>
              <w:rPr>
                <w:rFonts w:hint="eastAsia" w:ascii="宋体" w:hAnsi="宋体" w:eastAsia="宋体" w:cs="宋体"/>
                <w:i w:val="0"/>
                <w:iCs w:val="0"/>
                <w:color w:val="000000"/>
                <w:kern w:val="0"/>
                <w:sz w:val="24"/>
                <w:szCs w:val="24"/>
                <w:u w:val="none"/>
                <w:lang w:val="en-US" w:eastAsia="zh-CN" w:bidi="ar"/>
              </w:rPr>
              <w:t>每台机子增加约4.75米</w:t>
            </w:r>
          </w:p>
        </w:tc>
        <w:tc>
          <w:tcPr>
            <w:tcW w:w="386"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米</w:t>
            </w:r>
          </w:p>
        </w:tc>
        <w:tc>
          <w:tcPr>
            <w:tcW w:w="351"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513</w:t>
            </w:r>
          </w:p>
        </w:tc>
        <w:tc>
          <w:tcPr>
            <w:tcW w:w="358"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36" w:type="pct"/>
            <w:vMerge w:val="continue"/>
            <w:noWrap w:val="0"/>
            <w:vAlign w:val="center"/>
          </w:tcPr>
          <w:p>
            <w:pPr>
              <w:jc w:val="center"/>
              <w:rPr>
                <w:rFonts w:hint="eastAsia" w:ascii="宋体" w:hAnsi="宋体" w:eastAsia="宋体" w:cs="宋体"/>
                <w:sz w:val="24"/>
                <w:szCs w:val="24"/>
              </w:rPr>
            </w:pPr>
          </w:p>
        </w:tc>
        <w:tc>
          <w:tcPr>
            <w:tcW w:w="609" w:type="pct"/>
            <w:noWrap w:val="0"/>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支架</w:t>
            </w:r>
          </w:p>
        </w:tc>
        <w:tc>
          <w:tcPr>
            <w:tcW w:w="2560" w:type="pct"/>
            <w:noWrap w:val="0"/>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每台空调单外机支架，适用于格力空调1.5匹挂机</w:t>
            </w:r>
          </w:p>
        </w:tc>
        <w:tc>
          <w:tcPr>
            <w:tcW w:w="386"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c>
          <w:tcPr>
            <w:tcW w:w="351"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108</w:t>
            </w:r>
          </w:p>
        </w:tc>
        <w:tc>
          <w:tcPr>
            <w:tcW w:w="358"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395"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36" w:type="pct"/>
            <w:vMerge w:val="continue"/>
            <w:noWrap w:val="0"/>
            <w:vAlign w:val="center"/>
          </w:tcPr>
          <w:p>
            <w:pPr>
              <w:jc w:val="center"/>
              <w:rPr>
                <w:rFonts w:hint="eastAsia" w:ascii="宋体" w:hAnsi="宋体" w:eastAsia="宋体" w:cs="宋体"/>
                <w:sz w:val="24"/>
                <w:szCs w:val="24"/>
              </w:rPr>
            </w:pPr>
          </w:p>
        </w:tc>
        <w:tc>
          <w:tcPr>
            <w:tcW w:w="609" w:type="pct"/>
            <w:noWrap w:val="0"/>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排水管</w:t>
            </w:r>
          </w:p>
        </w:tc>
        <w:tc>
          <w:tcPr>
            <w:tcW w:w="2560" w:type="pct"/>
            <w:noWrap w:val="0"/>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空调单机增加冷凝排水管，每台机子增加约2.25米</w:t>
            </w:r>
          </w:p>
        </w:tc>
        <w:tc>
          <w:tcPr>
            <w:tcW w:w="386"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米</w:t>
            </w:r>
          </w:p>
        </w:tc>
        <w:tc>
          <w:tcPr>
            <w:tcW w:w="351"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243</w:t>
            </w:r>
          </w:p>
        </w:tc>
        <w:tc>
          <w:tcPr>
            <w:tcW w:w="358"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noWrap w:val="0"/>
            <w:vAlign w:val="center"/>
          </w:tcPr>
          <w:p>
            <w:pPr>
              <w:jc w:val="left"/>
              <w:rPr>
                <w:rFonts w:hint="eastAsia" w:ascii="宋体" w:hAnsi="宋体" w:eastAsia="宋体" w:cs="宋体"/>
                <w:sz w:val="24"/>
                <w:szCs w:val="24"/>
                <w:lang w:eastAsia="zh-CN"/>
              </w:rPr>
            </w:pPr>
            <w:r>
              <w:rPr>
                <w:rFonts w:hint="eastAsia" w:ascii="宋体" w:hAnsi="宋体" w:eastAsia="宋体" w:cs="宋体"/>
                <w:b/>
                <w:bCs/>
                <w:color w:val="auto"/>
                <w:sz w:val="24"/>
                <w:szCs w:val="24"/>
              </w:rPr>
              <w:t>★</w:t>
            </w:r>
            <w:r>
              <w:rPr>
                <w:rFonts w:hint="eastAsia" w:ascii="宋体" w:hAnsi="宋体" w:eastAsia="宋体" w:cs="宋体"/>
                <w:b/>
                <w:bCs/>
                <w:sz w:val="24"/>
                <w:szCs w:val="24"/>
                <w:lang w:eastAsia="zh-CN"/>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1342" w:type="pct"/>
            <w:gridSpan w:val="3"/>
            <w:noWrap w:val="0"/>
            <w:vAlign w:val="center"/>
          </w:tcPr>
          <w:p>
            <w:pPr>
              <w:spacing w:line="260" w:lineRule="exact"/>
              <w:jc w:val="center"/>
              <w:rPr>
                <w:rFonts w:hint="eastAsia" w:ascii="宋体" w:hAnsi="宋体" w:eastAsia="宋体" w:cs="宋体"/>
                <w:sz w:val="24"/>
                <w:szCs w:val="24"/>
              </w:rPr>
            </w:pPr>
            <w:r>
              <w:rPr>
                <w:rFonts w:hint="eastAsia" w:ascii="宋体" w:hAnsi="宋体" w:eastAsia="宋体" w:cs="宋体"/>
                <w:sz w:val="24"/>
                <w:szCs w:val="24"/>
              </w:rPr>
              <w:t>交付时间地点</w:t>
            </w:r>
          </w:p>
        </w:tc>
        <w:tc>
          <w:tcPr>
            <w:tcW w:w="3657" w:type="pct"/>
            <w:gridSpan w:val="4"/>
            <w:noWrap w:val="0"/>
            <w:vAlign w:val="center"/>
          </w:tcPr>
          <w:p>
            <w:pPr>
              <w:spacing w:line="260" w:lineRule="exact"/>
              <w:rPr>
                <w:rFonts w:hint="eastAsia" w:ascii="宋体" w:hAnsi="宋体" w:eastAsia="宋体" w:cs="宋体"/>
                <w:sz w:val="24"/>
                <w:szCs w:val="24"/>
              </w:rPr>
            </w:pPr>
            <w:r>
              <w:rPr>
                <w:rFonts w:hint="eastAsia" w:ascii="宋体" w:hAnsi="宋体" w:eastAsia="宋体" w:cs="宋体"/>
                <w:sz w:val="24"/>
                <w:szCs w:val="24"/>
              </w:rPr>
              <w:t>1、签订合同时间：自中标通知书发出之日起10个工作日内。</w:t>
            </w:r>
          </w:p>
          <w:p>
            <w:pPr>
              <w:spacing w:line="260" w:lineRule="exact"/>
              <w:rPr>
                <w:rFonts w:hint="eastAsia" w:ascii="宋体" w:hAnsi="宋体" w:eastAsia="宋体" w:cs="宋体"/>
                <w:sz w:val="24"/>
                <w:szCs w:val="24"/>
              </w:rPr>
            </w:pPr>
            <w:r>
              <w:rPr>
                <w:rFonts w:hint="eastAsia" w:ascii="宋体" w:hAnsi="宋体" w:eastAsia="宋体" w:cs="宋体"/>
                <w:sz w:val="24"/>
                <w:szCs w:val="24"/>
              </w:rPr>
              <w:t>2、交付地点：采购人指定的地点（广西南宁市武鸣区红岭大道588号广西工商职业技术学院武鸣校区西区教师公寓楼2栋（西A-14）。</w:t>
            </w:r>
          </w:p>
          <w:p>
            <w:pPr>
              <w:spacing w:line="260" w:lineRule="exact"/>
              <w:rPr>
                <w:rFonts w:hint="eastAsia" w:ascii="宋体" w:hAnsi="宋体" w:eastAsia="宋体" w:cs="宋体"/>
                <w:sz w:val="24"/>
                <w:szCs w:val="24"/>
                <w:lang w:eastAsia="zh-CN"/>
              </w:rPr>
            </w:pPr>
            <w:r>
              <w:rPr>
                <w:rFonts w:hint="eastAsia" w:ascii="宋体" w:hAnsi="宋体" w:eastAsia="宋体" w:cs="宋体"/>
                <w:sz w:val="24"/>
                <w:szCs w:val="24"/>
              </w:rPr>
              <w:t>3、交货安装期：自合同签订之日起20日内将采购产品运抵采购人指定地点并完成安装，经采购人对产品初验合格后，供应商将全部空调安装、调试至正常使用状态并经采购人终验合格；未经采购人终验合格视为供应商未能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342" w:type="pct"/>
            <w:gridSpan w:val="3"/>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付款条件（进度和方式）</w:t>
            </w:r>
          </w:p>
        </w:tc>
        <w:tc>
          <w:tcPr>
            <w:tcW w:w="3657" w:type="pct"/>
            <w:gridSpan w:val="4"/>
            <w:noWrap w:val="0"/>
            <w:vAlign w:val="center"/>
          </w:tcPr>
          <w:p>
            <w:pPr>
              <w:jc w:val="left"/>
              <w:rPr>
                <w:rFonts w:hint="eastAsia" w:ascii="宋体" w:hAnsi="宋体" w:eastAsia="宋体" w:cs="宋体"/>
                <w:sz w:val="24"/>
                <w:szCs w:val="24"/>
                <w:lang w:val="en-US" w:eastAsia="zh-CN"/>
              </w:rPr>
            </w:pPr>
            <w:r>
              <w:rPr>
                <w:rFonts w:hint="eastAsia" w:ascii="宋体" w:hAnsi="宋体" w:eastAsia="宋体" w:cs="宋体"/>
                <w:sz w:val="24"/>
                <w:szCs w:val="24"/>
              </w:rPr>
              <w:t>付款条件：本项目无预付款，货到交货地点且安装完毕经过采购人确认后验收合格后，供应商开具发票给采购人，采购人收到发票后支付100%的合同价款。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342" w:type="pct"/>
            <w:gridSpan w:val="3"/>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包装和运输</w:t>
            </w:r>
          </w:p>
        </w:tc>
        <w:tc>
          <w:tcPr>
            <w:tcW w:w="3657" w:type="pct"/>
            <w:gridSpan w:val="4"/>
            <w:noWrap w:val="0"/>
            <w:vAlign w:val="center"/>
          </w:tcPr>
          <w:p>
            <w:pPr>
              <w:spacing w:line="260" w:lineRule="exact"/>
              <w:rPr>
                <w:rFonts w:hint="eastAsia" w:ascii="宋体" w:hAnsi="宋体" w:eastAsia="宋体" w:cs="宋体"/>
                <w:sz w:val="24"/>
                <w:szCs w:val="24"/>
              </w:rPr>
            </w:pPr>
            <w:r>
              <w:rPr>
                <w:rFonts w:hint="eastAsia" w:ascii="宋体" w:hAnsi="宋体" w:eastAsia="宋体" w:cs="宋体"/>
                <w:sz w:val="24"/>
                <w:szCs w:val="24"/>
              </w:rPr>
              <w:t>1、供应商所投标的设备必须是全新、完整、未使用过的产品。设备必须为符合国家有关质量安全标准的合格产品。产品零部件、配件、包装及安装材料必须是未经使用的全新的并符合国家有关质量安全标准的合格产品。</w:t>
            </w:r>
          </w:p>
          <w:p>
            <w:pPr>
              <w:jc w:val="left"/>
              <w:rPr>
                <w:rFonts w:hint="eastAsia" w:ascii="宋体" w:hAnsi="宋体" w:eastAsia="宋体" w:cs="宋体"/>
                <w:sz w:val="24"/>
                <w:szCs w:val="24"/>
                <w:lang w:eastAsia="zh-CN"/>
              </w:rPr>
            </w:pPr>
            <w:r>
              <w:rPr>
                <w:rFonts w:hint="eastAsia" w:ascii="宋体" w:hAnsi="宋体" w:eastAsia="宋体" w:cs="宋体"/>
                <w:sz w:val="24"/>
                <w:szCs w:val="24"/>
              </w:rPr>
              <w:t>2、供应商提供的全部货物均应按国家标准中关于包装、储运指示标志的规定及其他相关规定进行包装。该包装应适于远程运输和反复装卸，并具有防潮、防震、防锈、防霉等作用，以确保货物安全无损地运抵采购人指定地点。由于包装不善所引起的货物锈蚀、损坏和损失均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342" w:type="pct"/>
            <w:gridSpan w:val="3"/>
            <w:vAlign w:val="center"/>
          </w:tcPr>
          <w:p>
            <w:pPr>
              <w:jc w:val="center"/>
              <w:rPr>
                <w:rFonts w:hint="eastAsia" w:ascii="宋体" w:hAnsi="宋体" w:eastAsia="宋体" w:cs="宋体"/>
                <w:sz w:val="24"/>
                <w:szCs w:val="24"/>
              </w:rPr>
            </w:pPr>
            <w:r>
              <w:rPr>
                <w:rFonts w:hint="eastAsia" w:ascii="宋体" w:hAnsi="宋体" w:eastAsia="宋体" w:cs="宋体"/>
                <w:sz w:val="24"/>
                <w:szCs w:val="24"/>
              </w:rPr>
              <w:t>售后服务及保险等</w:t>
            </w:r>
          </w:p>
        </w:tc>
        <w:tc>
          <w:tcPr>
            <w:tcW w:w="3657" w:type="pct"/>
            <w:gridSpan w:val="4"/>
            <w:vAlign w:val="center"/>
          </w:tcPr>
          <w:p>
            <w:pPr>
              <w:spacing w:line="260" w:lineRule="exact"/>
              <w:rPr>
                <w:rFonts w:hint="eastAsia" w:ascii="宋体" w:hAnsi="宋体" w:eastAsia="宋体" w:cs="宋体"/>
                <w:sz w:val="24"/>
                <w:szCs w:val="24"/>
              </w:rPr>
            </w:pPr>
            <w:r>
              <w:rPr>
                <w:rFonts w:hint="eastAsia" w:ascii="宋体" w:hAnsi="宋体" w:eastAsia="宋体" w:cs="宋体"/>
                <w:sz w:val="24"/>
                <w:szCs w:val="24"/>
              </w:rPr>
              <w:t>★1、供应商应当保证其所提供的产品为符合国家知识产权法律法规要求的正规正版产品，否则视为虚假应标。投标供应商必须实质性能够满足产品的参数要求，产品必须是具备厂家合法渠道的全新正品，必须按厂家承诺实行“三包”。</w:t>
            </w:r>
          </w:p>
          <w:p>
            <w:pPr>
              <w:spacing w:line="26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rPr>
              <w:t>★2、供应商按国家有关产品“三包”规定执行“三包”,提供质保服</w:t>
            </w:r>
            <w:r>
              <w:rPr>
                <w:rFonts w:hint="eastAsia" w:ascii="宋体" w:hAnsi="宋体" w:eastAsia="宋体" w:cs="宋体"/>
                <w:sz w:val="24"/>
                <w:szCs w:val="24"/>
                <w:highlight w:val="none"/>
              </w:rPr>
              <w:t>务。</w:t>
            </w:r>
            <w:r>
              <w:rPr>
                <w:rFonts w:hint="eastAsia" w:ascii="宋体" w:hAnsi="宋体" w:eastAsia="宋体" w:cs="宋体"/>
                <w:sz w:val="24"/>
                <w:szCs w:val="24"/>
                <w:highlight w:val="none"/>
                <w:lang w:eastAsia="zh-CN"/>
              </w:rPr>
              <w:t>本项目质保期</w:t>
            </w:r>
            <w:r>
              <w:rPr>
                <w:rFonts w:hint="eastAsia" w:ascii="宋体" w:hAnsi="宋体" w:eastAsia="宋体" w:cs="宋体"/>
                <w:sz w:val="24"/>
                <w:szCs w:val="24"/>
                <w:highlight w:val="none"/>
                <w:lang w:val="en-US" w:eastAsia="zh-CN"/>
              </w:rPr>
              <w:t>6年。</w:t>
            </w:r>
          </w:p>
          <w:p>
            <w:pPr>
              <w:spacing w:line="260" w:lineRule="exact"/>
              <w:rPr>
                <w:rFonts w:hint="eastAsia" w:ascii="宋体" w:hAnsi="宋体" w:eastAsia="宋体" w:cs="宋体"/>
                <w:sz w:val="24"/>
                <w:szCs w:val="24"/>
              </w:rPr>
            </w:pPr>
            <w:r>
              <w:rPr>
                <w:rFonts w:hint="eastAsia" w:ascii="宋体" w:hAnsi="宋体" w:eastAsia="宋体" w:cs="宋体"/>
                <w:sz w:val="24"/>
                <w:szCs w:val="24"/>
              </w:rPr>
              <w:t>3、质保期内提供免费服务（含部件、人力、上门等），保修期自双方代表在安装调试后的验收证明文件上签字之日起计算，质保期满后，中标人仍应提供维修服务，可按维修件成本收费。</w:t>
            </w:r>
          </w:p>
          <w:p>
            <w:pPr>
              <w:spacing w:line="260" w:lineRule="exac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考虑到项目需要上门安装调试,供应商应在交付地点范围具有提供本地化服务的能力（提供依据），提供24小时维修服务。维修人员须在接到报修电话后4小时内赶到现场，提供不间断服务直到故障排除，1个工作日内维修好。在规定时间内不能解决问题的产品应在24小时内提供等同档次产品给采购人使用。</w:t>
            </w:r>
          </w:p>
          <w:p>
            <w:pPr>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、供应商投标时请提供售后服务承诺书：明确保修期、故障响应时间、培训时间、售后服务技术人员名单和联系方式等。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342" w:type="pct"/>
            <w:gridSpan w:val="3"/>
            <w:vAlign w:val="center"/>
          </w:tcPr>
          <w:p>
            <w:pPr>
              <w:jc w:val="center"/>
              <w:rPr>
                <w:rFonts w:hint="eastAsia" w:ascii="宋体" w:hAnsi="宋体" w:eastAsia="宋体" w:cs="宋体"/>
                <w:sz w:val="24"/>
                <w:szCs w:val="24"/>
              </w:rPr>
            </w:pPr>
            <w:r>
              <w:rPr>
                <w:rFonts w:hint="eastAsia" w:ascii="宋体" w:hAnsi="宋体" w:eastAsia="宋体" w:cs="宋体"/>
                <w:sz w:val="24"/>
                <w:szCs w:val="24"/>
              </w:rPr>
              <w:t>履约验收要求</w:t>
            </w:r>
          </w:p>
        </w:tc>
        <w:tc>
          <w:tcPr>
            <w:tcW w:w="3657" w:type="pct"/>
            <w:gridSpan w:val="4"/>
            <w:vAlign w:val="center"/>
          </w:tcPr>
          <w:p>
            <w:pPr>
              <w:spacing w:line="260" w:lineRule="exact"/>
              <w:rPr>
                <w:rFonts w:hint="eastAsia" w:ascii="宋体" w:hAnsi="宋体" w:eastAsia="宋体" w:cs="宋体"/>
                <w:sz w:val="24"/>
                <w:szCs w:val="24"/>
              </w:rPr>
            </w:pPr>
            <w:r>
              <w:rPr>
                <w:rFonts w:hint="eastAsia" w:ascii="宋体" w:hAnsi="宋体" w:eastAsia="宋体" w:cs="宋体"/>
                <w:sz w:val="24"/>
                <w:szCs w:val="24"/>
              </w:rPr>
              <w:t>1、到货验收：货物运抵采购人指定地点后，采购人应依据本合同的技术规格要求和国家有关质量标准及 时进行验收。如发生所供货物与合同约定不符，采购人有权退货或要求供应商进行更换、补齐，因此造成逾期交货的，供应商承担逾期交货的违约责任。供应商应在接到采购人要求后3日内予以补救，所产生的费用及法律后果由供应商承担。</w:t>
            </w:r>
          </w:p>
          <w:p>
            <w:pPr>
              <w:spacing w:line="260" w:lineRule="exact"/>
              <w:rPr>
                <w:rFonts w:hint="eastAsia" w:ascii="宋体" w:hAnsi="宋体" w:eastAsia="宋体" w:cs="宋体"/>
                <w:sz w:val="24"/>
                <w:szCs w:val="24"/>
                <w:lang w:eastAsia="zh-CN"/>
              </w:rPr>
            </w:pPr>
            <w:r>
              <w:rPr>
                <w:rFonts w:hint="eastAsia" w:ascii="宋体" w:hAnsi="宋体" w:eastAsia="宋体" w:cs="宋体"/>
                <w:sz w:val="24"/>
                <w:szCs w:val="24"/>
              </w:rPr>
              <w:t>2、最终验收：货物经安装调试完成且符合技术要求后，采购人进行最终验收。验收时供应商必须在现场。货物符合合同约 定的技术规范要求和验收标准的，采购人签署验收合格证明。如货物不符合合同约定的要求的，供应商应当在3日内采取措施消除缺陷后重新申请终验，并承担由此产生的费用</w:t>
            </w:r>
            <w:r>
              <w:rPr>
                <w:rFonts w:hint="eastAsia" w:ascii="宋体" w:hAnsi="宋体" w:eastAsia="宋体" w:cs="宋体"/>
                <w:sz w:val="24"/>
                <w:szCs w:val="24"/>
                <w:lang w:eastAsia="zh-CN"/>
              </w:rPr>
              <w:t>。</w:t>
            </w:r>
          </w:p>
          <w:p>
            <w:pPr>
              <w:spacing w:line="260" w:lineRule="exact"/>
              <w:rPr>
                <w:rFonts w:hint="eastAsia" w:ascii="宋体" w:hAnsi="宋体" w:eastAsia="宋体" w:cs="宋体"/>
                <w:sz w:val="24"/>
                <w:szCs w:val="24"/>
                <w:lang w:eastAsia="zh-CN"/>
              </w:rPr>
            </w:pPr>
            <w:r>
              <w:rPr>
                <w:rFonts w:hint="eastAsia" w:ascii="宋体" w:hAnsi="宋体" w:eastAsia="宋体" w:cs="宋体"/>
                <w:sz w:val="24"/>
                <w:szCs w:val="24"/>
              </w:rPr>
              <w:t>3、投标报价须为人民币报价，报价必须包含所有货物（含货物的附件、承诺的备件）的价格、税费、运输装卸费、安装调试费、培训费、产品检测费、产品质保期内维护维修及技术支持费用等。</w:t>
            </w:r>
          </w:p>
        </w:tc>
      </w:tr>
    </w:tbl>
    <w:p>
      <w:pPr>
        <w:pStyle w:val="14"/>
      </w:pPr>
    </w:p>
    <w:p>
      <w:pPr>
        <w:pStyle w:val="14"/>
        <w:sectPr>
          <w:pgSz w:w="11906" w:h="16838"/>
          <w:pgMar w:top="1440" w:right="1080" w:bottom="1440" w:left="1080" w:header="851" w:footer="992" w:gutter="0"/>
          <w:pgNumType w:fmt="decimal"/>
          <w:cols w:space="425" w:num="1"/>
          <w:docGrid w:type="lines" w:linePitch="312" w:charSpace="0"/>
        </w:sectPr>
      </w:pPr>
    </w:p>
    <w:p>
      <w:pPr>
        <w:pStyle w:val="2"/>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w:t>
      </w:r>
      <w:r>
        <w:rPr>
          <w:rFonts w:hint="eastAsia" w:ascii="宋体" w:hAnsi="宋体" w:cs="Courier New"/>
          <w:bCs/>
          <w:color w:val="auto"/>
          <w:sz w:val="24"/>
          <w:szCs w:val="24"/>
          <w:lang w:eastAsia="zh-CN"/>
        </w:rPr>
        <w:t>（折扣率最高）</w:t>
      </w:r>
      <w:r>
        <w:rPr>
          <w:rFonts w:hint="eastAsia" w:ascii="宋体" w:hAnsi="宋体" w:cs="Courier New"/>
          <w:bCs/>
          <w:color w:val="auto"/>
          <w:sz w:val="24"/>
          <w:szCs w:val="24"/>
        </w:rPr>
        <w:t>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2"/>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bCs w:val="0"/>
          <w:color w:val="auto"/>
          <w:sz w:val="24"/>
          <w:szCs w:val="24"/>
          <w:lang w:eastAsia="zh-CN"/>
        </w:rPr>
        <w:t>（</w:t>
      </w:r>
      <w:r>
        <w:rPr>
          <w:rFonts w:hint="eastAsia" w:ascii="宋体" w:hAnsi="宋体" w:cs="宋体"/>
          <w:b/>
          <w:bCs w:val="0"/>
          <w:color w:val="auto"/>
          <w:sz w:val="24"/>
        </w:rPr>
        <w:t>以下文件要求必须提供的文件如未提供，</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w:t>
      </w:r>
      <w:r>
        <w:rPr>
          <w:rFonts w:hint="eastAsia" w:ascii="宋体" w:hAnsi="宋体" w:eastAsia="宋体" w:cs="宋体"/>
          <w:b/>
          <w:bCs w:val="0"/>
          <w:color w:val="auto"/>
          <w:sz w:val="24"/>
          <w:szCs w:val="24"/>
          <w:lang w:val="en-US" w:eastAsia="zh-CN"/>
        </w:rPr>
        <w:t>报价</w:t>
      </w:r>
      <w:r>
        <w:rPr>
          <w:rFonts w:hint="eastAsia" w:ascii="宋体" w:hAnsi="宋体" w:cs="宋体"/>
          <w:b/>
          <w:bCs w:val="0"/>
          <w:color w:val="auto"/>
          <w:sz w:val="24"/>
        </w:rPr>
        <w:t>响应文件；以下文件均须每页加盖</w:t>
      </w:r>
      <w:r>
        <w:rPr>
          <w:rFonts w:hint="eastAsia" w:ascii="宋体" w:hAnsi="宋体" w:eastAsia="宋体" w:cs="宋体"/>
          <w:b/>
          <w:bCs w:val="0"/>
          <w:color w:val="auto"/>
          <w:sz w:val="24"/>
          <w:szCs w:val="24"/>
          <w:lang w:val="en-US" w:eastAsia="zh-CN"/>
        </w:rPr>
        <w:t>供应商</w:t>
      </w:r>
      <w:r>
        <w:rPr>
          <w:rFonts w:hint="eastAsia" w:ascii="宋体" w:hAnsi="宋体" w:cs="宋体"/>
          <w:b/>
          <w:bCs w:val="0"/>
          <w:color w:val="auto"/>
          <w:sz w:val="24"/>
        </w:rPr>
        <w:t>公章，如未盖章，</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小组有权拒绝其响应文件。</w:t>
      </w:r>
      <w:r>
        <w:rPr>
          <w:rFonts w:hint="eastAsia" w:ascii="宋体" w:hAnsi="宋体" w:eastAsia="宋体" w:cs="宋体"/>
          <w:b/>
          <w:bCs w:val="0"/>
          <w:color w:val="auto"/>
          <w:sz w:val="24"/>
          <w:szCs w:val="24"/>
          <w:lang w:eastAsia="zh-CN"/>
        </w:rPr>
        <w:t>）</w:t>
      </w:r>
    </w:p>
    <w:p>
      <w:pPr>
        <w:spacing w:line="360" w:lineRule="auto"/>
        <w:rPr>
          <w:rFonts w:hint="eastAsia" w:ascii="宋体" w:hAnsi="宋体" w:cs="宋体"/>
          <w:color w:val="auto"/>
          <w:sz w:val="24"/>
        </w:rPr>
      </w:pP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val="en-US" w:eastAsia="zh-CN"/>
        </w:rPr>
        <w:t>:</w:t>
      </w:r>
      <w:r>
        <w:rPr>
          <w:rFonts w:hint="eastAsia" w:ascii="宋体" w:hAnsi="宋体" w:eastAsia="宋体" w:cs="宋体"/>
          <w:b/>
          <w:bCs/>
          <w:color w:val="auto"/>
          <w:sz w:val="24"/>
          <w:szCs w:val="24"/>
        </w:rPr>
        <w:t>[</w:t>
      </w:r>
      <w:r>
        <w:rPr>
          <w:rFonts w:hint="eastAsia" w:ascii="宋体" w:hAnsi="宋体" w:cs="宋体"/>
          <w:b/>
          <w:bCs/>
          <w:color w:val="auto"/>
          <w:sz w:val="24"/>
          <w:szCs w:val="24"/>
          <w:lang w:eastAsia="zh-CN"/>
        </w:rPr>
        <w:t>如有要求，</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①参加采购活动前三年内在经营活动中没有重大违法记录和不良信用记录的书面声明；[格式自拟，必须提供]</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②在“信用中国”网站(www.creditchina.gov.cn)未被列入失信被执行人、重大税收违法失信主体、企业经营异常名录的查询记录截图复印件加盖公章；[必须提供]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③在中国政府采购网（http://www.ccgp.gov.cn/）未纳入政府采购严重违法失信行为记录名单查询记录截图复印件加盖公章；[必须提供]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900" w:lineRule="exact"/>
        <w:ind w:firstLine="360" w:firstLineChars="100"/>
        <w:jc w:val="center"/>
        <w:rPr>
          <w:rFonts w:hint="eastAsia" w:ascii="仿宋" w:hAnsi="仿宋" w:eastAsia="仿宋" w:cs="仿宋"/>
          <w:color w:val="auto"/>
          <w:kern w:val="0"/>
          <w:sz w:val="36"/>
          <w:szCs w:val="36"/>
          <w:u w:val="single"/>
        </w:rPr>
      </w:pPr>
      <w:r>
        <w:rPr>
          <w:rFonts w:hint="eastAsia" w:ascii="仿宋" w:hAnsi="仿宋" w:eastAsia="仿宋" w:cs="仿宋"/>
          <w:color w:val="auto"/>
          <w:kern w:val="0"/>
          <w:sz w:val="36"/>
          <w:szCs w:val="36"/>
          <w:u w:val="single"/>
        </w:rPr>
        <w:t>武鸣校区教师公寓2栋空调安装辅材采购项目</w:t>
      </w:r>
    </w:p>
    <w:p>
      <w:pPr>
        <w:spacing w:line="360" w:lineRule="exact"/>
        <w:ind w:right="960"/>
        <w:jc w:val="center"/>
        <w:rPr>
          <w:rFonts w:hint="eastAsia" w:asciiTheme="majorEastAsia" w:hAnsiTheme="majorEastAsia" w:eastAsiaTheme="majorEastAsia"/>
          <w:b/>
          <w:color w:val="auto"/>
          <w:sz w:val="32"/>
          <w:szCs w:val="32"/>
        </w:rPr>
      </w:pPr>
    </w:p>
    <w:tbl>
      <w:tblPr>
        <w:tblStyle w:val="17"/>
        <w:tblpPr w:leftFromText="180" w:rightFromText="180" w:vertAnchor="text" w:horzAnchor="page" w:tblpX="1070" w:tblpY="296"/>
        <w:tblOverlap w:val="never"/>
        <w:tblW w:w="53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671"/>
        <w:gridCol w:w="1215"/>
        <w:gridCol w:w="3958"/>
        <w:gridCol w:w="768"/>
        <w:gridCol w:w="708"/>
        <w:gridCol w:w="1380"/>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14"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采购内容</w:t>
            </w:r>
          </w:p>
        </w:tc>
        <w:tc>
          <w:tcPr>
            <w:tcW w:w="569"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辅材名称</w:t>
            </w:r>
          </w:p>
        </w:tc>
        <w:tc>
          <w:tcPr>
            <w:tcW w:w="1853"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技术参数</w:t>
            </w:r>
          </w:p>
          <w:p>
            <w:pPr>
              <w:jc w:val="center"/>
              <w:rPr>
                <w:rFonts w:hint="eastAsia" w:ascii="宋体" w:hAnsi="宋体" w:eastAsia="宋体" w:cs="宋体"/>
                <w:sz w:val="24"/>
                <w:szCs w:val="24"/>
              </w:rPr>
            </w:pPr>
            <w:r>
              <w:rPr>
                <w:rFonts w:hint="eastAsia" w:ascii="宋体" w:hAnsi="宋体" w:eastAsia="宋体" w:cs="宋体"/>
                <w:sz w:val="24"/>
                <w:szCs w:val="24"/>
              </w:rPr>
              <w:t>（括性能、材料、结构、外观、安全，或者服务内容和标准）</w:t>
            </w:r>
          </w:p>
        </w:tc>
        <w:tc>
          <w:tcPr>
            <w:tcW w:w="359" w:type="pct"/>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单位</w:t>
            </w:r>
          </w:p>
        </w:tc>
        <w:tc>
          <w:tcPr>
            <w:tcW w:w="331"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646" w:type="pct"/>
            <w:noWrap w:val="0"/>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单价（元）</w:t>
            </w:r>
          </w:p>
        </w:tc>
        <w:tc>
          <w:tcPr>
            <w:tcW w:w="556"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金额小计（元）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14" w:type="pct"/>
            <w:vMerge w:val="restar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空调辅材</w:t>
            </w:r>
          </w:p>
        </w:tc>
        <w:tc>
          <w:tcPr>
            <w:tcW w:w="569" w:type="pct"/>
            <w:noWrap w:val="0"/>
            <w:vAlign w:val="center"/>
          </w:tcPr>
          <w:p>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铜管</w:t>
            </w:r>
          </w:p>
        </w:tc>
        <w:tc>
          <w:tcPr>
            <w:tcW w:w="1853" w:type="pct"/>
            <w:noWrap w:val="0"/>
            <w:vAlign w:val="center"/>
          </w:tcPr>
          <w:p>
            <w:pPr>
              <w:keepNext w:val="0"/>
              <w:keepLines w:val="0"/>
              <w:widowControl/>
              <w:suppressLineNumbers w:val="0"/>
              <w:jc w:val="left"/>
              <w:textAlignment w:val="center"/>
              <w:rPr>
                <w:rFonts w:hint="default" w:ascii="宋体" w:hAnsi="宋体" w:eastAsia="宋体" w:cs="宋体"/>
                <w:sz w:val="24"/>
                <w:szCs w:val="24"/>
                <w:lang w:val="en-US"/>
              </w:rPr>
            </w:pPr>
            <w:r>
              <w:rPr>
                <w:rFonts w:hint="eastAsia" w:ascii="宋体" w:hAnsi="宋体" w:cs="宋体"/>
                <w:i w:val="0"/>
                <w:iCs w:val="0"/>
                <w:color w:val="000000"/>
                <w:kern w:val="0"/>
                <w:sz w:val="24"/>
                <w:szCs w:val="24"/>
                <w:u w:val="none"/>
                <w:lang w:val="en-US" w:eastAsia="zh-CN" w:bidi="ar"/>
              </w:rPr>
              <w:t>空调单机安装加装铜管，</w:t>
            </w:r>
            <w:r>
              <w:rPr>
                <w:rFonts w:hint="eastAsia" w:ascii="宋体" w:hAnsi="宋体" w:cs="宋体"/>
                <w:sz w:val="24"/>
                <w:szCs w:val="24"/>
                <w:lang w:val="en-US" w:eastAsia="zh-CN"/>
              </w:rPr>
              <w:t>适用于格力空调1.5匹挂机，</w:t>
            </w:r>
            <w:r>
              <w:rPr>
                <w:rFonts w:hint="eastAsia" w:ascii="宋体" w:hAnsi="宋体" w:cs="宋体"/>
                <w:i w:val="0"/>
                <w:iCs w:val="0"/>
                <w:color w:val="000000"/>
                <w:kern w:val="0"/>
                <w:sz w:val="24"/>
                <w:szCs w:val="24"/>
                <w:u w:val="none"/>
                <w:lang w:val="en-US" w:eastAsia="zh-CN" w:bidi="ar"/>
              </w:rPr>
              <w:t>每台机子增加约4.75米</w:t>
            </w:r>
          </w:p>
        </w:tc>
        <w:tc>
          <w:tcPr>
            <w:tcW w:w="359" w:type="pct"/>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米</w:t>
            </w:r>
          </w:p>
        </w:tc>
        <w:tc>
          <w:tcPr>
            <w:tcW w:w="331"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513</w:t>
            </w:r>
          </w:p>
        </w:tc>
        <w:tc>
          <w:tcPr>
            <w:tcW w:w="646" w:type="pct"/>
            <w:noWrap w:val="0"/>
            <w:vAlign w:val="center"/>
          </w:tcPr>
          <w:p>
            <w:pPr>
              <w:jc w:val="center"/>
              <w:rPr>
                <w:rFonts w:hint="eastAsia" w:ascii="宋体" w:hAnsi="宋体" w:eastAsia="宋体" w:cs="宋体"/>
                <w:sz w:val="24"/>
                <w:szCs w:val="24"/>
              </w:rPr>
            </w:pPr>
          </w:p>
        </w:tc>
        <w:tc>
          <w:tcPr>
            <w:tcW w:w="55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369"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14" w:type="pct"/>
            <w:vMerge w:val="continue"/>
            <w:noWrap w:val="0"/>
            <w:vAlign w:val="center"/>
          </w:tcPr>
          <w:p>
            <w:pPr>
              <w:jc w:val="center"/>
              <w:rPr>
                <w:rFonts w:hint="eastAsia" w:ascii="宋体" w:hAnsi="宋体" w:eastAsia="宋体" w:cs="宋体"/>
                <w:sz w:val="24"/>
                <w:szCs w:val="24"/>
              </w:rPr>
            </w:pPr>
          </w:p>
        </w:tc>
        <w:tc>
          <w:tcPr>
            <w:tcW w:w="569" w:type="pct"/>
            <w:noWrap w:val="0"/>
            <w:vAlign w:val="center"/>
          </w:tcPr>
          <w:p>
            <w:pPr>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支架</w:t>
            </w:r>
          </w:p>
        </w:tc>
        <w:tc>
          <w:tcPr>
            <w:tcW w:w="1853" w:type="pct"/>
            <w:noWrap w:val="0"/>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每台空调单外机支架，适用于格力空调1.5匹挂机</w:t>
            </w:r>
          </w:p>
        </w:tc>
        <w:tc>
          <w:tcPr>
            <w:tcW w:w="359"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个</w:t>
            </w:r>
          </w:p>
        </w:tc>
        <w:tc>
          <w:tcPr>
            <w:tcW w:w="331"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108</w:t>
            </w:r>
          </w:p>
        </w:tc>
        <w:tc>
          <w:tcPr>
            <w:tcW w:w="646" w:type="pct"/>
            <w:noWrap w:val="0"/>
            <w:vAlign w:val="center"/>
          </w:tcPr>
          <w:p>
            <w:pPr>
              <w:jc w:val="center"/>
              <w:rPr>
                <w:rFonts w:hint="eastAsia" w:ascii="宋体" w:hAnsi="宋体" w:eastAsia="宋体" w:cs="宋体"/>
                <w:sz w:val="24"/>
                <w:szCs w:val="24"/>
              </w:rPr>
            </w:pPr>
          </w:p>
        </w:tc>
        <w:tc>
          <w:tcPr>
            <w:tcW w:w="55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369" w:type="pct"/>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14" w:type="pct"/>
            <w:vMerge w:val="continue"/>
            <w:noWrap w:val="0"/>
            <w:vAlign w:val="center"/>
          </w:tcPr>
          <w:p>
            <w:pPr>
              <w:jc w:val="center"/>
              <w:rPr>
                <w:rFonts w:hint="eastAsia" w:ascii="宋体" w:hAnsi="宋体" w:eastAsia="宋体" w:cs="宋体"/>
                <w:sz w:val="24"/>
                <w:szCs w:val="24"/>
              </w:rPr>
            </w:pPr>
          </w:p>
        </w:tc>
        <w:tc>
          <w:tcPr>
            <w:tcW w:w="569" w:type="pct"/>
            <w:noWrap w:val="0"/>
            <w:vAlign w:val="center"/>
          </w:tcPr>
          <w:p>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排水管</w:t>
            </w:r>
          </w:p>
        </w:tc>
        <w:tc>
          <w:tcPr>
            <w:tcW w:w="1853" w:type="pct"/>
            <w:noWrap w:val="0"/>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空调单机增加冷凝排水管，每台机子增加约2.25米</w:t>
            </w:r>
          </w:p>
        </w:tc>
        <w:tc>
          <w:tcPr>
            <w:tcW w:w="359"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米</w:t>
            </w:r>
          </w:p>
        </w:tc>
        <w:tc>
          <w:tcPr>
            <w:tcW w:w="331"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243</w:t>
            </w:r>
          </w:p>
        </w:tc>
        <w:tc>
          <w:tcPr>
            <w:tcW w:w="646" w:type="pct"/>
            <w:noWrap w:val="0"/>
            <w:vAlign w:val="center"/>
          </w:tcPr>
          <w:p>
            <w:pPr>
              <w:jc w:val="center"/>
              <w:rPr>
                <w:rFonts w:hint="eastAsia" w:ascii="宋体" w:hAnsi="宋体" w:eastAsia="宋体" w:cs="宋体"/>
                <w:sz w:val="24"/>
                <w:szCs w:val="24"/>
              </w:rPr>
            </w:pPr>
          </w:p>
        </w:tc>
        <w:tc>
          <w:tcPr>
            <w:tcW w:w="55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5000" w:type="pct"/>
            <w:gridSpan w:val="8"/>
            <w:vAlign w:val="center"/>
          </w:tcPr>
          <w:p>
            <w:pPr>
              <w:jc w:val="left"/>
              <w:rPr>
                <w:rFonts w:hint="eastAsia" w:ascii="宋体" w:hAnsi="宋体" w:eastAsia="宋体" w:cs="宋体"/>
                <w:sz w:val="24"/>
                <w:szCs w:val="24"/>
                <w:lang w:eastAsia="zh-CN"/>
              </w:rPr>
            </w:pPr>
          </w:p>
          <w:p>
            <w:pPr>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金额合计：人民币大写：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w:t>
            </w:r>
          </w:p>
          <w:p>
            <w:pPr>
              <w:spacing w:line="260" w:lineRule="exac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5000" w:type="pct"/>
            <w:gridSpan w:val="8"/>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1.</w:t>
            </w:r>
            <w:r>
              <w:rPr>
                <w:rFonts w:hint="eastAsia" w:ascii="宋体" w:hAnsi="宋体" w:eastAsia="宋体" w:cs="宋体"/>
                <w:sz w:val="24"/>
                <w:szCs w:val="24"/>
              </w:rPr>
              <w:t>总报价不能超过最高限价和项目预算，否则</w:t>
            </w:r>
            <w:r>
              <w:rPr>
                <w:rFonts w:hint="eastAsia" w:ascii="宋体" w:hAnsi="宋体" w:eastAsia="宋体" w:cs="宋体"/>
                <w:sz w:val="24"/>
                <w:szCs w:val="24"/>
                <w:lang w:eastAsia="zh-CN"/>
              </w:rPr>
              <w:t>报价无效</w:t>
            </w:r>
            <w:r>
              <w:rPr>
                <w:rFonts w:hint="eastAsia" w:ascii="宋体" w:hAnsi="宋体" w:eastAsia="宋体" w:cs="宋体"/>
                <w:sz w:val="24"/>
                <w:szCs w:val="24"/>
              </w:rPr>
              <w:t>。报价含税、运输费、人工费等所有费用。</w:t>
            </w:r>
          </w:p>
          <w:p>
            <w:pPr>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所有价格用人民币表示，单位为元，精确到小数点后两位数。</w:t>
            </w:r>
          </w:p>
          <w:p>
            <w:pPr>
              <w:spacing w:line="260" w:lineRule="exact"/>
              <w:rPr>
                <w:rFonts w:hint="eastAsia" w:ascii="宋体" w:hAnsi="宋体" w:eastAsia="宋体" w:cs="宋体"/>
                <w:sz w:val="24"/>
                <w:szCs w:val="24"/>
                <w:lang w:eastAsia="zh-CN"/>
              </w:rPr>
            </w:pPr>
          </w:p>
        </w:tc>
      </w:tr>
    </w:tbl>
    <w:p>
      <w:pPr>
        <w:spacing w:line="360" w:lineRule="auto"/>
        <w:jc w:val="center"/>
        <w:outlineLvl w:val="0"/>
        <w:rPr>
          <w:rFonts w:hint="eastAsia" w:asciiTheme="minorEastAsia" w:hAnsiTheme="minorEastAsia" w:eastAsiaTheme="minorEastAsia"/>
          <w:b/>
          <w:color w:val="auto"/>
          <w:sz w:val="28"/>
          <w:szCs w:val="30"/>
        </w:rPr>
      </w:pPr>
    </w:p>
    <w:p>
      <w:pPr>
        <w:rPr>
          <w:rFonts w:hint="eastAsia" w:ascii="宋体" w:hAnsi="宋体" w:eastAsia="宋体" w:cs="宋体"/>
          <w:sz w:val="24"/>
          <w:szCs w:val="24"/>
        </w:rPr>
      </w:pPr>
    </w:p>
    <w:p>
      <w:pPr>
        <w:spacing w:line="500" w:lineRule="exact"/>
        <w:ind w:right="1518"/>
        <w:jc w:val="right"/>
        <w:rPr>
          <w:rFonts w:hint="eastAsia" w:ascii="宋体" w:hAnsi="宋体" w:eastAsia="宋体" w:cs="宋体"/>
          <w:color w:val="auto"/>
          <w:sz w:val="24"/>
          <w:szCs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br w:type="page"/>
      </w: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lang w:val="en-US" w:eastAsia="zh-CN"/>
              </w:rPr>
              <w:t>询价</w:t>
            </w:r>
            <w:r>
              <w:rPr>
                <w:rFonts w:hint="eastAsia"/>
                <w:color w:val="auto"/>
              </w:rPr>
              <w:t>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lang w:eastAsia="zh-CN"/>
              </w:rPr>
              <w:t>技术</w:t>
            </w:r>
            <w:r>
              <w:rPr>
                <w:rFonts w:hint="eastAsia"/>
                <w:color w:val="auto"/>
                <w:lang w:val="en-US" w:eastAsia="zh-CN"/>
              </w:rPr>
              <w:t>/</w:t>
            </w:r>
            <w:r>
              <w:rPr>
                <w:rFonts w:hint="eastAsia"/>
                <w:color w:val="auto"/>
              </w:rPr>
              <w:t>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6</w:t>
            </w:r>
          </w:p>
        </w:tc>
        <w:tc>
          <w:tcPr>
            <w:tcW w:w="3013" w:type="dxa"/>
            <w:vAlign w:val="center"/>
          </w:tcPr>
          <w:p>
            <w:pPr>
              <w:jc w:val="center"/>
              <w:rPr>
                <w:rFonts w:hint="eastAsia" w:ascii="宋体" w:hAnsi="宋体"/>
                <w:color w:val="auto"/>
                <w:szCs w:val="21"/>
                <w:highlight w:val="none"/>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7" w:name="_Toc476258666"/>
            <w:bookmarkStart w:id="8" w:name="_Toc476258667"/>
            <w:r>
              <w:rPr>
                <w:rFonts w:hint="eastAsia"/>
                <w:color w:val="auto"/>
              </w:rPr>
              <w:t>商务部分</w:t>
            </w:r>
            <w:bookmarkEnd w:id="7"/>
            <w:r>
              <w:rPr>
                <w:rFonts w:hint="eastAsia"/>
                <w:color w:val="auto"/>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9" w:name="_Toc476258668"/>
            <w:r>
              <w:rPr>
                <w:rFonts w:hint="eastAsia"/>
                <w:color w:val="auto"/>
              </w:rPr>
              <w:t>1</w:t>
            </w:r>
            <w:bookmarkEnd w:id="9"/>
          </w:p>
        </w:tc>
        <w:tc>
          <w:tcPr>
            <w:tcW w:w="3013" w:type="dxa"/>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9"/>
            <w:r>
              <w:rPr>
                <w:rFonts w:hint="eastAsia"/>
                <w:color w:val="auto"/>
              </w:rPr>
              <w:t>2</w:t>
            </w:r>
            <w:bookmarkEnd w:id="10"/>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70"/>
            <w:r>
              <w:rPr>
                <w:rFonts w:hint="eastAsia"/>
                <w:color w:val="auto"/>
              </w:rPr>
              <w:t>3</w:t>
            </w:r>
            <w:bookmarkEnd w:id="11"/>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4</w:t>
            </w:r>
          </w:p>
        </w:tc>
        <w:tc>
          <w:tcPr>
            <w:tcW w:w="3013" w:type="dxa"/>
            <w:vAlign w:val="center"/>
          </w:tcPr>
          <w:p>
            <w:pPr>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5</w:t>
            </w:r>
          </w:p>
        </w:tc>
        <w:tc>
          <w:tcPr>
            <w:tcW w:w="3013" w:type="dxa"/>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bookmarkStart w:id="12" w:name="_Toc476258671"/>
            <w:r>
              <w:rPr>
                <w:rFonts w:hint="eastAsia"/>
                <w:color w:val="auto"/>
              </w:rPr>
              <w:t>…</w:t>
            </w:r>
            <w:bookmarkEnd w:id="12"/>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default"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日 </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rPr>
          <w:rFonts w:hint="eastAsia" w:ascii="宋体" w:hAnsi="宋体" w:eastAsia="宋体" w:cs="宋体"/>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eastAsia="zh-CN"/>
        </w:rPr>
        <w:t>如有要求，</w:t>
      </w:r>
      <w:r>
        <w:rPr>
          <w:rFonts w:hint="eastAsia" w:ascii="宋体" w:hAnsi="宋体" w:eastAsia="宋体" w:cs="宋体"/>
          <w:color w:val="auto"/>
          <w:sz w:val="24"/>
          <w:szCs w:val="24"/>
        </w:rPr>
        <w:t>必须提供]</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4"/>
        <w:rPr>
          <w:color w:val="auto"/>
        </w:rPr>
      </w:pP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5"/>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13" w:name="_Toc42077370"/>
      <w:r>
        <w:rPr>
          <w:rFonts w:hint="eastAsia" w:asciiTheme="majorEastAsia" w:hAnsiTheme="majorEastAsia" w:eastAsiaTheme="majorEastAsia"/>
          <w:b/>
          <w:color w:val="auto"/>
          <w:sz w:val="32"/>
          <w:szCs w:val="32"/>
        </w:rPr>
        <w:br w:type="page"/>
      </w:r>
    </w:p>
    <w:p>
      <w:pPr>
        <w:bidi w:val="0"/>
        <w:jc w:val="center"/>
        <w:rPr>
          <w:rFonts w:hint="eastAsia" w:ascii="方正小标宋简体" w:hAnsi="方正小标宋简体" w:eastAsia="方正小标宋简体" w:cs="方正小标宋简体"/>
          <w:sz w:val="44"/>
          <w:szCs w:val="44"/>
        </w:rPr>
      </w:pPr>
      <w:bookmarkStart w:id="14" w:name="_Toc24643"/>
      <w:r>
        <w:rPr>
          <w:rFonts w:hint="eastAsia" w:ascii="方正小标宋简体" w:hAnsi="方正小标宋简体" w:eastAsia="方正小标宋简体" w:cs="方正小标宋简体"/>
          <w:sz w:val="44"/>
          <w:szCs w:val="44"/>
        </w:rPr>
        <w:t>第五章 合同主要条款</w:t>
      </w:r>
      <w:bookmarkEnd w:id="13"/>
      <w:bookmarkEnd w:id="14"/>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hint="eastAsia"/>
          <w:b/>
          <w:bCs/>
          <w:color w:val="auto"/>
          <w:sz w:val="40"/>
        </w:rPr>
      </w:pPr>
      <w:bookmarkStart w:id="15" w:name="_Toc15562802"/>
      <w:r>
        <w:rPr>
          <w:rFonts w:hint="eastAsia"/>
          <w:b/>
          <w:bCs/>
          <w:color w:val="auto"/>
          <w:sz w:val="40"/>
        </w:rPr>
        <w:t>武鸣校区教师公寓2栋空调安装辅材采购项目</w:t>
      </w:r>
    </w:p>
    <w:p>
      <w:pPr>
        <w:spacing w:line="500" w:lineRule="exact"/>
        <w:jc w:val="center"/>
        <w:rPr>
          <w:rFonts w:ascii="宋体" w:hAnsi="宋体" w:cs="宋体"/>
          <w:b/>
          <w:bCs/>
          <w:color w:val="auto"/>
          <w:sz w:val="44"/>
          <w:szCs w:val="52"/>
        </w:rPr>
      </w:pPr>
      <w:r>
        <w:rPr>
          <w:rFonts w:hint="eastAsia" w:ascii="宋体" w:hAnsi="宋体" w:cs="宋体"/>
          <w:b/>
          <w:bCs/>
          <w:color w:val="auto"/>
          <w:sz w:val="44"/>
          <w:szCs w:val="52"/>
        </w:rPr>
        <w:t>采购合同</w:t>
      </w:r>
    </w:p>
    <w:bookmarkEnd w:id="15"/>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67"/>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根据甲方广西工商职业技术学院武鸣校区教师公寓2栋空调安装辅材采购项目采购成交的结果、《中华人民共和国</w:t>
      </w:r>
      <w:r>
        <w:rPr>
          <w:rFonts w:hint="eastAsia" w:ascii="仿宋" w:hAnsi="仿宋" w:eastAsia="仿宋"/>
          <w:sz w:val="32"/>
          <w:szCs w:val="32"/>
          <w:lang w:eastAsia="zh-CN"/>
        </w:rPr>
        <w:t>民法典</w:t>
      </w:r>
      <w:r>
        <w:rPr>
          <w:rFonts w:hint="eastAsia" w:ascii="仿宋" w:hAnsi="仿宋" w:eastAsia="仿宋"/>
          <w:sz w:val="32"/>
          <w:szCs w:val="32"/>
        </w:rPr>
        <w:t>》及其他有关法律、法规之规定，甲乙双方经过协商，确认根据下列条款订立合同，以资共同遵照执行。</w:t>
      </w:r>
    </w:p>
    <w:p>
      <w:pPr>
        <w:pStyle w:val="58"/>
        <w:numPr>
          <w:ilvl w:val="0"/>
          <w:numId w:val="2"/>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w:t>
      </w:r>
      <w:r>
        <w:rPr>
          <w:rFonts w:hint="eastAsia" w:ascii="仿宋" w:hAnsi="仿宋" w:eastAsia="仿宋"/>
          <w:kern w:val="0"/>
          <w:sz w:val="32"/>
          <w:szCs w:val="32"/>
          <w:lang w:eastAsia="zh-CN"/>
        </w:rPr>
        <w:t>货物、</w:t>
      </w:r>
      <w:r>
        <w:rPr>
          <w:rFonts w:hint="eastAsia" w:ascii="仿宋" w:hAnsi="仿宋" w:eastAsia="仿宋"/>
          <w:kern w:val="0"/>
          <w:sz w:val="32"/>
          <w:szCs w:val="32"/>
        </w:rPr>
        <w:t>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7"/>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u w:val="single"/>
          <w:lang w:val="en-US" w:eastAsia="zh-CN"/>
        </w:rPr>
        <w:t xml:space="preserve">                           </w:t>
      </w:r>
      <w:r>
        <w:rPr>
          <w:rFonts w:hint="eastAsia" w:ascii="仿宋" w:hAnsi="仿宋" w:eastAsia="仿宋" w:cs="Times New Roman"/>
          <w:kern w:val="0"/>
          <w:sz w:val="32"/>
          <w:szCs w:val="32"/>
        </w:rPr>
        <w:t>。</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w:t>
      </w:r>
      <w:r>
        <w:rPr>
          <w:rFonts w:hint="eastAsia" w:ascii="仿宋" w:hAnsi="仿宋" w:eastAsia="仿宋" w:cs="Times New Roman"/>
          <w:kern w:val="0"/>
          <w:sz w:val="32"/>
          <w:szCs w:val="32"/>
          <w:lang w:eastAsia="zh-CN"/>
        </w:rPr>
        <w:t>甲方指定地址</w:t>
      </w:r>
      <w:r>
        <w:rPr>
          <w:rFonts w:hint="eastAsia" w:ascii="仿宋" w:hAnsi="仿宋" w:eastAsia="仿宋" w:cs="Times New Roman"/>
          <w:kern w:val="0"/>
          <w:sz w:val="32"/>
          <w:szCs w:val="32"/>
        </w:rPr>
        <w:t>。</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2.付款方式：验收合格后甲方支付货款，付款方式：银行转账支付。</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hint="eastAsia"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w:t>
      </w:r>
      <w:r>
        <w:rPr>
          <w:rFonts w:hint="eastAsia" w:ascii="仿宋" w:hAnsi="仿宋" w:eastAsia="仿宋"/>
          <w:kern w:val="0"/>
          <w:sz w:val="32"/>
          <w:szCs w:val="32"/>
          <w:lang w:eastAsia="zh-CN"/>
        </w:rPr>
        <w:t>负责</w:t>
      </w:r>
      <w:r>
        <w:rPr>
          <w:rFonts w:ascii="仿宋" w:hAnsi="仿宋" w:eastAsia="仿宋"/>
          <w:kern w:val="0"/>
          <w:sz w:val="32"/>
          <w:szCs w:val="32"/>
        </w:rPr>
        <w:t>送货上门、安装调试至验收合格</w:t>
      </w:r>
      <w:r>
        <w:rPr>
          <w:rFonts w:hint="eastAsia" w:ascii="仿宋" w:hAnsi="仿宋" w:eastAsia="仿宋"/>
          <w:kern w:val="0"/>
          <w:sz w:val="32"/>
          <w:szCs w:val="32"/>
        </w:rPr>
        <w:t>。</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货物质保期：</w:t>
      </w:r>
      <w:r>
        <w:rPr>
          <w:rFonts w:hint="eastAsia" w:ascii="仿宋" w:hAnsi="仿宋" w:eastAsia="仿宋"/>
          <w:kern w:val="0"/>
          <w:sz w:val="32"/>
          <w:szCs w:val="32"/>
          <w:lang w:eastAsia="zh-CN"/>
        </w:rPr>
        <w:t>按乙方响应文件有关规定</w:t>
      </w:r>
      <w:r>
        <w:rPr>
          <w:rFonts w:hint="eastAsia" w:ascii="仿宋" w:hAnsi="仿宋" w:eastAsia="仿宋"/>
          <w:kern w:val="0"/>
          <w:sz w:val="32"/>
          <w:szCs w:val="32"/>
        </w:rPr>
        <w:t>。</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6"/>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6"/>
              <w:spacing w:line="360" w:lineRule="auto"/>
              <w:ind w:left="980" w:firstLine="320"/>
              <w:rPr>
                <w:rFonts w:ascii="仿宋" w:hAnsi="仿宋" w:eastAsia="仿宋"/>
                <w:kern w:val="0"/>
                <w:sz w:val="32"/>
                <w:szCs w:val="32"/>
              </w:rPr>
            </w:pPr>
          </w:p>
          <w:p>
            <w:pPr>
              <w:pStyle w:val="10"/>
              <w:spacing w:line="360" w:lineRule="auto"/>
              <w:ind w:firstLine="562"/>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pacing w:line="360" w:lineRule="auto"/>
        <w:rPr>
          <w:rFonts w:ascii="仿宋" w:hAnsi="仿宋" w:eastAsia="仿宋"/>
          <w:color w:val="auto"/>
          <w:kern w:val="0"/>
          <w:sz w:val="32"/>
          <w:szCs w:val="32"/>
        </w:rPr>
      </w:pPr>
    </w:p>
    <w:p>
      <w:pPr>
        <w:snapToGrid w:val="0"/>
        <w:ind w:firstLine="560" w:firstLineChars="200"/>
        <w:rPr>
          <w:rFonts w:ascii="仿宋" w:hAnsi="仿宋" w:eastAsia="仿宋" w:cs="仿宋"/>
          <w:sz w:val="28"/>
          <w:szCs w:val="28"/>
        </w:rPr>
      </w:pPr>
    </w:p>
    <w:p>
      <w:pPr>
        <w:pStyle w:val="3"/>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D635F2E-FA97-4CFF-9256-04A4B663361B}"/>
  </w:font>
  <w:font w:name="黑体">
    <w:panose1 w:val="02010609060101010101"/>
    <w:charset w:val="86"/>
    <w:family w:val="auto"/>
    <w:pitch w:val="default"/>
    <w:sig w:usb0="800002BF" w:usb1="38CF7CFA" w:usb2="00000016" w:usb3="00000000" w:csb0="00040001" w:csb1="00000000"/>
    <w:embedRegular r:id="rId2" w:fontKey="{D1844DD4-DB18-4B01-837E-841954EAFB8D}"/>
  </w:font>
  <w:font w:name="Courier New">
    <w:panose1 w:val="02070309020205020404"/>
    <w:charset w:val="01"/>
    <w:family w:val="modern"/>
    <w:pitch w:val="default"/>
    <w:sig w:usb0="E0002AFF" w:usb1="C0007843" w:usb2="00000009" w:usb3="00000000" w:csb0="400001FF" w:csb1="FFFF0000"/>
    <w:embedRegular r:id="rId3" w:fontKey="{BAAE5833-FB1E-4D99-A1A4-7218DD32939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4AC94911-B1FD-4671-8EB2-CD57128DE2E0}"/>
  </w:font>
  <w:font w:name="方正小标宋简体">
    <w:panose1 w:val="03000509000000000000"/>
    <w:charset w:val="86"/>
    <w:family w:val="script"/>
    <w:pitch w:val="default"/>
    <w:sig w:usb0="00000001" w:usb1="080E0000" w:usb2="00000000" w:usb3="00000000" w:csb0="00040000" w:csb1="00000000"/>
    <w:embedRegular r:id="rId5" w:fontKey="{75E8B231-7878-4142-9AC6-CD650D23087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7D1B6E"/>
    <w:rsid w:val="04BF260B"/>
    <w:rsid w:val="060A7F0C"/>
    <w:rsid w:val="095D7F5D"/>
    <w:rsid w:val="09D744B4"/>
    <w:rsid w:val="0A107177"/>
    <w:rsid w:val="0B4453CD"/>
    <w:rsid w:val="0B952ADC"/>
    <w:rsid w:val="0BB95CBE"/>
    <w:rsid w:val="0C453A64"/>
    <w:rsid w:val="0D4E1EA3"/>
    <w:rsid w:val="0D664E43"/>
    <w:rsid w:val="0DBB266A"/>
    <w:rsid w:val="0DD036B5"/>
    <w:rsid w:val="0E4E6357"/>
    <w:rsid w:val="0E524011"/>
    <w:rsid w:val="0FC85F3C"/>
    <w:rsid w:val="10030D22"/>
    <w:rsid w:val="106F0560"/>
    <w:rsid w:val="10E54153"/>
    <w:rsid w:val="114F7185"/>
    <w:rsid w:val="1213761F"/>
    <w:rsid w:val="14E5401B"/>
    <w:rsid w:val="15A57173"/>
    <w:rsid w:val="163D0D06"/>
    <w:rsid w:val="167364D6"/>
    <w:rsid w:val="167A1613"/>
    <w:rsid w:val="188718D8"/>
    <w:rsid w:val="189015C1"/>
    <w:rsid w:val="19B17A41"/>
    <w:rsid w:val="19B72B7E"/>
    <w:rsid w:val="1A6B5E42"/>
    <w:rsid w:val="1C057BD0"/>
    <w:rsid w:val="1C5B5A42"/>
    <w:rsid w:val="1D602818"/>
    <w:rsid w:val="1D734FDD"/>
    <w:rsid w:val="1FE65F6B"/>
    <w:rsid w:val="20817E50"/>
    <w:rsid w:val="220D5A31"/>
    <w:rsid w:val="22CA56D0"/>
    <w:rsid w:val="23FD207E"/>
    <w:rsid w:val="241430A6"/>
    <w:rsid w:val="24D36535"/>
    <w:rsid w:val="25775188"/>
    <w:rsid w:val="27515CDC"/>
    <w:rsid w:val="280E605F"/>
    <w:rsid w:val="2B7E34FB"/>
    <w:rsid w:val="2BA61F9C"/>
    <w:rsid w:val="2BB81936"/>
    <w:rsid w:val="2D3C23FE"/>
    <w:rsid w:val="2EB16F5A"/>
    <w:rsid w:val="2F4E016F"/>
    <w:rsid w:val="2FA85F14"/>
    <w:rsid w:val="2FCB33F0"/>
    <w:rsid w:val="31360F6B"/>
    <w:rsid w:val="332A03DF"/>
    <w:rsid w:val="33641268"/>
    <w:rsid w:val="33A15FD9"/>
    <w:rsid w:val="340C0F9D"/>
    <w:rsid w:val="343706EB"/>
    <w:rsid w:val="35415CC5"/>
    <w:rsid w:val="358F5DF9"/>
    <w:rsid w:val="37240250"/>
    <w:rsid w:val="38593326"/>
    <w:rsid w:val="39F552D0"/>
    <w:rsid w:val="3BD771D7"/>
    <w:rsid w:val="3D931088"/>
    <w:rsid w:val="3DE17339"/>
    <w:rsid w:val="3DE22C35"/>
    <w:rsid w:val="3E646B18"/>
    <w:rsid w:val="3EC2015A"/>
    <w:rsid w:val="3F5D00D8"/>
    <w:rsid w:val="3F7C0431"/>
    <w:rsid w:val="3FA8698D"/>
    <w:rsid w:val="3FFD2EB8"/>
    <w:rsid w:val="40B94D77"/>
    <w:rsid w:val="411B434D"/>
    <w:rsid w:val="42595F30"/>
    <w:rsid w:val="42BD5522"/>
    <w:rsid w:val="430F3A6E"/>
    <w:rsid w:val="43340C18"/>
    <w:rsid w:val="435412BA"/>
    <w:rsid w:val="43A47936"/>
    <w:rsid w:val="448C54BB"/>
    <w:rsid w:val="44A4066B"/>
    <w:rsid w:val="4512577F"/>
    <w:rsid w:val="453C0257"/>
    <w:rsid w:val="47887B38"/>
    <w:rsid w:val="48C875BA"/>
    <w:rsid w:val="49115557"/>
    <w:rsid w:val="4A8F5981"/>
    <w:rsid w:val="4DFD6E89"/>
    <w:rsid w:val="4E2D2E33"/>
    <w:rsid w:val="4FF9082B"/>
    <w:rsid w:val="50EE68AA"/>
    <w:rsid w:val="515063E7"/>
    <w:rsid w:val="535B23F4"/>
    <w:rsid w:val="56BC6B02"/>
    <w:rsid w:val="577675F9"/>
    <w:rsid w:val="59576FB6"/>
    <w:rsid w:val="597E09E7"/>
    <w:rsid w:val="59B7586F"/>
    <w:rsid w:val="5A861E4C"/>
    <w:rsid w:val="5B57504B"/>
    <w:rsid w:val="5B7F45A2"/>
    <w:rsid w:val="5C711A3B"/>
    <w:rsid w:val="5C7D2BB8"/>
    <w:rsid w:val="5DD80DC3"/>
    <w:rsid w:val="5E5925BD"/>
    <w:rsid w:val="5E5F4EE4"/>
    <w:rsid w:val="5E9B6682"/>
    <w:rsid w:val="5EC11A00"/>
    <w:rsid w:val="5F180F96"/>
    <w:rsid w:val="5F822615"/>
    <w:rsid w:val="60F14539"/>
    <w:rsid w:val="611D46BE"/>
    <w:rsid w:val="61994610"/>
    <w:rsid w:val="635C141B"/>
    <w:rsid w:val="64746C6E"/>
    <w:rsid w:val="64A84B6A"/>
    <w:rsid w:val="653B572C"/>
    <w:rsid w:val="65586590"/>
    <w:rsid w:val="66965720"/>
    <w:rsid w:val="67680CC1"/>
    <w:rsid w:val="678E6299"/>
    <w:rsid w:val="6840387F"/>
    <w:rsid w:val="68E454D3"/>
    <w:rsid w:val="69F34AD9"/>
    <w:rsid w:val="6AAC36BF"/>
    <w:rsid w:val="6B340066"/>
    <w:rsid w:val="6C501A07"/>
    <w:rsid w:val="6F9603E0"/>
    <w:rsid w:val="719170B1"/>
    <w:rsid w:val="71B64AE3"/>
    <w:rsid w:val="71BD19EB"/>
    <w:rsid w:val="721D203F"/>
    <w:rsid w:val="72361A07"/>
    <w:rsid w:val="727A5D97"/>
    <w:rsid w:val="72820D88"/>
    <w:rsid w:val="73075151"/>
    <w:rsid w:val="73DC213A"/>
    <w:rsid w:val="746A6B1A"/>
    <w:rsid w:val="75206F1D"/>
    <w:rsid w:val="7578360E"/>
    <w:rsid w:val="75B23186"/>
    <w:rsid w:val="76C515AB"/>
    <w:rsid w:val="778154D2"/>
    <w:rsid w:val="77D93692"/>
    <w:rsid w:val="79C30143"/>
    <w:rsid w:val="7A98194F"/>
    <w:rsid w:val="7B5E3716"/>
    <w:rsid w:val="7BA81A06"/>
    <w:rsid w:val="7BC77C70"/>
    <w:rsid w:val="7C190257"/>
    <w:rsid w:val="7C9E6B26"/>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5"/>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4"/>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3"/>
    <w:qFormat/>
    <w:uiPriority w:val="9"/>
    <w:rPr>
      <w:rFonts w:ascii="Cambria" w:hAnsi="Cambria" w:eastAsia="宋体" w:cs="Times New Roman"/>
      <w:b/>
      <w:bCs/>
      <w:sz w:val="32"/>
      <w:szCs w:val="32"/>
    </w:rPr>
  </w:style>
  <w:style w:type="character" w:customStyle="1" w:styleId="65">
    <w:name w:val="正文文本 Char"/>
    <w:basedOn w:val="19"/>
    <w:link w:val="7"/>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6687</Words>
  <Characters>6973</Characters>
  <Lines>44</Lines>
  <Paragraphs>12</Paragraphs>
  <TotalTime>20</TotalTime>
  <ScaleCrop>false</ScaleCrop>
  <LinksUpToDate>false</LinksUpToDate>
  <CharactersWithSpaces>8147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XIAOYANGYO(≧▽≦)~</cp:lastModifiedBy>
  <cp:lastPrinted>2021-11-08T03:25:00Z</cp:lastPrinted>
  <dcterms:modified xsi:type="dcterms:W3CDTF">2023-08-14T03:28:16Z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E856BC52A9A54C579C44238FD7B852DF</vt:lpwstr>
  </property>
</Properties>
</file>