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line="360" w:lineRule="atLeast"/>
        <w:ind w:left="0" w:right="0"/>
      </w:pPr>
      <w:r>
        <w:rPr>
          <w:rFonts w:hint="eastAsia" w:ascii="宋体" w:hAnsi="宋体" w:eastAsia="宋体" w:cs="宋体"/>
          <w:sz w:val="28"/>
          <w:szCs w:val="28"/>
        </w:rPr>
        <w:br w:type="textWrapping"/>
      </w:r>
      <w:r>
        <w:rPr>
          <w:rFonts w:hint="eastAsia" w:ascii="宋体" w:hAnsi="宋体" w:eastAsia="宋体" w:cs="宋体"/>
          <w:sz w:val="28"/>
          <w:szCs w:val="28"/>
        </w:rPr>
        <w:t> </w:t>
      </w:r>
    </w:p>
    <w:p>
      <w:pPr>
        <w:pStyle w:val="2"/>
        <w:keepNext w:val="0"/>
        <w:keepLines w:val="0"/>
        <w:widowControl/>
        <w:suppressLineNumbers w:val="0"/>
        <w:spacing w:before="75" w:beforeAutospacing="0" w:after="75" w:afterAutospacing="0" w:line="360" w:lineRule="atLeast"/>
        <w:ind w:left="0" w:right="0"/>
      </w:pPr>
      <w:r>
        <w:rPr>
          <w:rFonts w:hint="eastAsia" w:ascii="宋体" w:hAnsi="宋体" w:eastAsia="宋体" w:cs="宋体"/>
          <w:sz w:val="28"/>
          <w:szCs w:val="28"/>
        </w:rPr>
        <w:t>附件</w:t>
      </w:r>
      <w:r>
        <w:rPr>
          <w:rFonts w:hint="default" w:ascii="Times New Roman" w:hAnsi="Times New Roman" w:eastAsia="宋体" w:cs="Times New Roman"/>
          <w:sz w:val="28"/>
          <w:szCs w:val="28"/>
        </w:rPr>
        <w:t>1</w:t>
      </w:r>
      <w:bookmarkStart w:id="0" w:name="_GoBack"/>
      <w:bookmarkEnd w:id="0"/>
    </w:p>
    <w:p>
      <w:pPr>
        <w:pStyle w:val="2"/>
        <w:keepNext w:val="0"/>
        <w:keepLines w:val="0"/>
        <w:widowControl/>
        <w:suppressLineNumbers w:val="0"/>
        <w:spacing w:before="75" w:beforeAutospacing="0" w:after="75" w:afterAutospacing="0" w:line="360" w:lineRule="atLeast"/>
        <w:ind w:left="0" w:right="0" w:firstLine="2100"/>
      </w:pPr>
      <w:r>
        <w:rPr>
          <w:rStyle w:val="5"/>
          <w:rFonts w:hint="default" w:ascii="Times New Roman" w:hAnsi="Times New Roman" w:eastAsia="宋体" w:cs="Times New Roman"/>
          <w:sz w:val="30"/>
          <w:szCs w:val="30"/>
        </w:rPr>
        <w:t>2023</w:t>
      </w:r>
      <w:r>
        <w:rPr>
          <w:rStyle w:val="5"/>
          <w:rFonts w:hint="eastAsia" w:ascii="宋体" w:hAnsi="宋体" w:eastAsia="宋体" w:cs="宋体"/>
          <w:sz w:val="30"/>
          <w:szCs w:val="30"/>
        </w:rPr>
        <w:t>年建筑装饰数字化施工赛项方案</w:t>
      </w:r>
    </w:p>
    <w:p>
      <w:pPr>
        <w:pStyle w:val="2"/>
        <w:keepNext w:val="0"/>
        <w:keepLines w:val="0"/>
        <w:widowControl/>
        <w:suppressLineNumbers w:val="0"/>
        <w:spacing w:before="75" w:beforeAutospacing="0" w:after="75" w:afterAutospacing="0" w:line="360" w:lineRule="atLeast"/>
        <w:ind w:left="0" w:right="0"/>
      </w:pPr>
      <w:r>
        <w:rPr>
          <w:rFonts w:ascii="黑体" w:hAnsi="宋体" w:eastAsia="黑体" w:cs="黑体"/>
          <w:sz w:val="30"/>
          <w:szCs w:val="30"/>
        </w:rPr>
        <w:t>一、</w:t>
      </w:r>
      <w:r>
        <w:rPr>
          <w:rFonts w:hint="eastAsia" w:ascii="黑体" w:hAnsi="宋体" w:eastAsia="黑体" w:cs="黑体"/>
          <w:sz w:val="30"/>
          <w:szCs w:val="30"/>
        </w:rPr>
        <w:t>竞赛项目名称：</w:t>
      </w:r>
      <w:r>
        <w:rPr>
          <w:rFonts w:ascii="仿宋" w:hAnsi="仿宋" w:eastAsia="仿宋" w:cs="仿宋"/>
          <w:sz w:val="30"/>
          <w:szCs w:val="30"/>
        </w:rPr>
        <w:t>建筑</w:t>
      </w:r>
      <w:r>
        <w:rPr>
          <w:rFonts w:hint="eastAsia" w:ascii="仿宋" w:hAnsi="仿宋" w:eastAsia="仿宋" w:cs="仿宋"/>
          <w:sz w:val="30"/>
          <w:szCs w:val="30"/>
        </w:rPr>
        <w:t>装饰数字化施工赛项</w:t>
      </w:r>
    </w:p>
    <w:p>
      <w:pPr>
        <w:pStyle w:val="2"/>
        <w:keepNext w:val="0"/>
        <w:keepLines w:val="0"/>
        <w:widowControl/>
        <w:suppressLineNumbers w:val="0"/>
        <w:spacing w:before="75" w:beforeAutospacing="0" w:after="75" w:afterAutospacing="0" w:line="360" w:lineRule="atLeast"/>
        <w:ind w:left="0" w:right="0"/>
      </w:pPr>
      <w:r>
        <w:rPr>
          <w:rFonts w:hint="eastAsia" w:ascii="黑体" w:hAnsi="宋体" w:eastAsia="黑体" w:cs="黑体"/>
          <w:sz w:val="30"/>
          <w:szCs w:val="30"/>
        </w:rPr>
        <w:t>二、参赛对象：</w:t>
      </w:r>
      <w:r>
        <w:rPr>
          <w:rFonts w:hint="eastAsia" w:ascii="仿宋" w:hAnsi="仿宋" w:eastAsia="仿宋" w:cs="仿宋"/>
          <w:sz w:val="30"/>
          <w:szCs w:val="30"/>
        </w:rPr>
        <w:t>全院2022级在籍在校全日制学生</w:t>
      </w:r>
    </w:p>
    <w:p>
      <w:pPr>
        <w:pStyle w:val="2"/>
        <w:keepNext w:val="0"/>
        <w:keepLines w:val="0"/>
        <w:widowControl/>
        <w:suppressLineNumbers w:val="0"/>
        <w:spacing w:before="75" w:beforeAutospacing="0" w:after="75" w:afterAutospacing="0"/>
        <w:ind w:left="0" w:right="0" w:firstLine="600"/>
      </w:pPr>
      <w:r>
        <w:rPr>
          <w:rFonts w:hint="eastAsia" w:ascii="黑体" w:hAnsi="宋体" w:eastAsia="黑体" w:cs="黑体"/>
          <w:sz w:val="30"/>
          <w:szCs w:val="30"/>
        </w:rPr>
        <w:t>三、竞赛方式与内容</w:t>
      </w:r>
    </w:p>
    <w:p>
      <w:pPr>
        <w:pStyle w:val="2"/>
        <w:keepNext w:val="0"/>
        <w:keepLines w:val="0"/>
        <w:widowControl/>
        <w:suppressLineNumbers w:val="0"/>
        <w:spacing w:before="75" w:beforeAutospacing="0" w:after="75" w:afterAutospacing="0"/>
        <w:ind w:left="0" w:right="0" w:firstLine="600"/>
      </w:pPr>
      <w:r>
        <w:rPr>
          <w:rFonts w:hint="eastAsia" w:ascii="仿宋" w:hAnsi="仿宋" w:eastAsia="仿宋" w:cs="仿宋"/>
          <w:sz w:val="30"/>
          <w:szCs w:val="30"/>
        </w:rPr>
        <w:t>（一）竞赛方式：统一机赛</w:t>
      </w:r>
    </w:p>
    <w:p>
      <w:pPr>
        <w:pStyle w:val="2"/>
        <w:keepNext w:val="0"/>
        <w:keepLines w:val="0"/>
        <w:widowControl/>
        <w:suppressLineNumbers w:val="0"/>
        <w:spacing w:before="75" w:beforeAutospacing="0" w:after="75" w:afterAutospacing="0"/>
        <w:ind w:left="0" w:right="0" w:firstLine="600"/>
      </w:pPr>
      <w:r>
        <w:rPr>
          <w:rFonts w:hint="eastAsia" w:ascii="仿宋" w:hAnsi="仿宋" w:eastAsia="仿宋" w:cs="仿宋"/>
          <w:sz w:val="30"/>
          <w:szCs w:val="30"/>
        </w:rPr>
        <w:t>（二）竞赛内容：</w:t>
      </w:r>
    </w:p>
    <w:p>
      <w:pPr>
        <w:pStyle w:val="2"/>
        <w:keepNext w:val="0"/>
        <w:keepLines w:val="0"/>
        <w:widowControl/>
        <w:suppressLineNumbers w:val="0"/>
        <w:spacing w:before="75" w:beforeAutospacing="0" w:after="75" w:afterAutospacing="0"/>
        <w:ind w:left="0" w:right="0" w:firstLine="600"/>
      </w:pPr>
      <w:r>
        <w:rPr>
          <w:rFonts w:hint="eastAsia" w:ascii="仿宋" w:hAnsi="仿宋" w:eastAsia="仿宋" w:cs="仿宋"/>
          <w:sz w:val="30"/>
          <w:szCs w:val="30"/>
        </w:rPr>
        <w:t>1、建筑装饰施工图深化设计：包括封面、目录、施工图设计说明、平面布置图、地面铺装图、顶平面图、立面图、剖面图、节点大样图等。</w:t>
      </w:r>
    </w:p>
    <w:p>
      <w:pPr>
        <w:pStyle w:val="2"/>
        <w:keepNext w:val="0"/>
        <w:keepLines w:val="0"/>
        <w:widowControl/>
        <w:suppressLineNumbers w:val="0"/>
        <w:spacing w:before="75" w:beforeAutospacing="0" w:after="75" w:afterAutospacing="0"/>
        <w:ind w:left="0" w:right="0" w:firstLine="600"/>
      </w:pPr>
      <w:r>
        <w:rPr>
          <w:rFonts w:hint="eastAsia" w:ascii="仿宋" w:hAnsi="仿宋" w:eastAsia="仿宋" w:cs="仿宋"/>
          <w:sz w:val="30"/>
          <w:szCs w:val="30"/>
        </w:rPr>
        <w:t>2、建筑装饰工程量清单编制：编制该装饰装修工程分部分项工程量清单和单价措施项目清单。</w:t>
      </w:r>
    </w:p>
    <w:p>
      <w:pPr>
        <w:pStyle w:val="2"/>
        <w:keepNext w:val="0"/>
        <w:keepLines w:val="0"/>
        <w:widowControl/>
        <w:suppressLineNumbers w:val="0"/>
        <w:spacing w:before="75" w:beforeAutospacing="0" w:after="75" w:afterAutospacing="0"/>
        <w:ind w:left="0" w:right="0" w:firstLine="600"/>
      </w:pPr>
      <w:r>
        <w:rPr>
          <w:rFonts w:hint="eastAsia" w:ascii="仿宋" w:hAnsi="仿宋" w:eastAsia="仿宋" w:cs="仿宋"/>
          <w:sz w:val="30"/>
          <w:szCs w:val="30"/>
        </w:rPr>
        <w:t>3、团队2名选手可以独立并行实施，也可团队配合实施，团队内部自行分配合作工作任务，并合理使用规定时间。</w:t>
      </w:r>
    </w:p>
    <w:p>
      <w:pPr>
        <w:pStyle w:val="2"/>
        <w:keepNext w:val="0"/>
        <w:keepLines w:val="0"/>
        <w:widowControl/>
        <w:suppressLineNumbers w:val="0"/>
        <w:spacing w:before="75" w:beforeAutospacing="0" w:after="75" w:afterAutospacing="0"/>
        <w:ind w:left="0" w:right="0" w:firstLine="600"/>
      </w:pPr>
      <w:r>
        <w:rPr>
          <w:rFonts w:hint="eastAsia" w:ascii="仿宋" w:hAnsi="仿宋" w:eastAsia="仿宋" w:cs="仿宋"/>
          <w:sz w:val="30"/>
          <w:szCs w:val="30"/>
        </w:rPr>
        <w:t>考试时间240分钟。</w:t>
      </w:r>
    </w:p>
    <w:p>
      <w:pPr>
        <w:pStyle w:val="2"/>
        <w:keepNext w:val="0"/>
        <w:keepLines w:val="0"/>
        <w:widowControl/>
        <w:suppressLineNumbers w:val="0"/>
        <w:spacing w:before="75" w:beforeAutospacing="0" w:after="75" w:afterAutospacing="0"/>
        <w:ind w:left="0" w:right="0" w:firstLine="600"/>
      </w:pPr>
      <w:r>
        <w:rPr>
          <w:rFonts w:hint="eastAsia" w:ascii="仿宋" w:hAnsi="仿宋" w:eastAsia="仿宋" w:cs="仿宋"/>
          <w:sz w:val="30"/>
          <w:szCs w:val="30"/>
        </w:rPr>
        <w:t>四、竞赛规则</w:t>
      </w:r>
    </w:p>
    <w:p>
      <w:pPr>
        <w:pStyle w:val="2"/>
        <w:keepNext w:val="0"/>
        <w:keepLines w:val="0"/>
        <w:widowControl/>
        <w:suppressLineNumbers w:val="0"/>
        <w:spacing w:before="75" w:beforeAutospacing="0" w:after="75" w:afterAutospacing="0"/>
        <w:ind w:left="0" w:right="0" w:firstLine="600"/>
      </w:pPr>
      <w:r>
        <w:rPr>
          <w:rFonts w:hint="eastAsia" w:ascii="仿宋" w:hAnsi="仿宋" w:eastAsia="仿宋" w:cs="仿宋"/>
          <w:sz w:val="30"/>
          <w:szCs w:val="30"/>
        </w:rPr>
        <w:t>1、根据提供的方案图，完成施工图深化设计。</w:t>
      </w:r>
    </w:p>
    <w:p>
      <w:pPr>
        <w:pStyle w:val="2"/>
        <w:keepNext w:val="0"/>
        <w:keepLines w:val="0"/>
        <w:widowControl/>
        <w:suppressLineNumbers w:val="0"/>
        <w:spacing w:before="75" w:beforeAutospacing="0" w:after="75" w:afterAutospacing="0"/>
        <w:ind w:left="0" w:right="0" w:firstLine="600"/>
      </w:pPr>
      <w:r>
        <w:rPr>
          <w:rFonts w:hint="eastAsia" w:ascii="仿宋" w:hAnsi="仿宋" w:eastAsia="仿宋" w:cs="仿宋"/>
          <w:sz w:val="30"/>
          <w:szCs w:val="30"/>
        </w:rPr>
        <w:t>2、每团队参赛选手，并最终以*.dwg文件格式和A3规格的*.pdf、Excel2010办公软件计算工程量格式，提交比赛作品。由裁判员改卷后评出成绩。</w:t>
      </w:r>
    </w:p>
    <w:p>
      <w:pPr>
        <w:pStyle w:val="2"/>
        <w:keepNext w:val="0"/>
        <w:keepLines w:val="0"/>
        <w:widowControl/>
        <w:suppressLineNumbers w:val="0"/>
        <w:spacing w:before="75" w:beforeAutospacing="0" w:after="75" w:afterAutospacing="0"/>
        <w:ind w:left="0" w:right="0" w:firstLine="600"/>
      </w:pPr>
      <w:r>
        <w:rPr>
          <w:rFonts w:hint="eastAsia" w:ascii="黑体" w:hAnsi="宋体" w:eastAsia="黑体" w:cs="黑体"/>
          <w:sz w:val="30"/>
          <w:szCs w:val="30"/>
        </w:rPr>
        <w:t>五、竞赛场地与设备</w:t>
      </w:r>
    </w:p>
    <w:p>
      <w:pPr>
        <w:pStyle w:val="2"/>
        <w:keepNext w:val="0"/>
        <w:keepLines w:val="0"/>
        <w:widowControl/>
        <w:suppressLineNumbers w:val="0"/>
        <w:spacing w:before="75" w:beforeAutospacing="0" w:after="75" w:afterAutospacing="0"/>
        <w:ind w:left="0" w:right="0" w:firstLine="600"/>
      </w:pPr>
      <w:r>
        <w:rPr>
          <w:rFonts w:hint="eastAsia" w:ascii="仿宋" w:hAnsi="仿宋" w:eastAsia="仿宋" w:cs="仿宋"/>
          <w:sz w:val="30"/>
          <w:szCs w:val="30"/>
        </w:rPr>
        <w:t>（一）竞赛场地：机房，具体地点以通知为准。</w:t>
      </w:r>
    </w:p>
    <w:p>
      <w:pPr>
        <w:pStyle w:val="2"/>
        <w:keepNext w:val="0"/>
        <w:keepLines w:val="0"/>
        <w:widowControl/>
        <w:suppressLineNumbers w:val="0"/>
        <w:spacing w:before="75" w:beforeAutospacing="0" w:after="75" w:afterAutospacing="0"/>
        <w:ind w:left="0" w:right="0" w:firstLine="600"/>
      </w:pPr>
      <w:r>
        <w:rPr>
          <w:rFonts w:hint="eastAsia" w:ascii="仿宋" w:hAnsi="仿宋" w:eastAsia="仿宋" w:cs="仿宋"/>
          <w:sz w:val="30"/>
          <w:szCs w:val="30"/>
        </w:rPr>
        <w:t>（二）竞赛设备：电脑，安装有AutoCAD2014、AutoCAD2020建筑绘图软件。</w:t>
      </w:r>
    </w:p>
    <w:p>
      <w:pPr>
        <w:pStyle w:val="2"/>
        <w:keepNext w:val="0"/>
        <w:keepLines w:val="0"/>
        <w:widowControl/>
        <w:suppressLineNumbers w:val="0"/>
        <w:spacing w:before="75" w:beforeAutospacing="0" w:after="75" w:afterAutospacing="0"/>
        <w:ind w:left="0" w:right="0" w:firstLine="600"/>
      </w:pPr>
      <w:r>
        <w:rPr>
          <w:rFonts w:hint="eastAsia" w:ascii="黑体" w:hAnsi="宋体" w:eastAsia="黑体" w:cs="黑体"/>
          <w:sz w:val="30"/>
          <w:szCs w:val="30"/>
        </w:rPr>
        <w:t>六、评分办法与标准</w:t>
      </w:r>
    </w:p>
    <w:p>
      <w:pPr>
        <w:pStyle w:val="2"/>
        <w:keepNext w:val="0"/>
        <w:keepLines w:val="0"/>
        <w:widowControl/>
        <w:suppressLineNumbers w:val="0"/>
        <w:spacing w:before="75" w:beforeAutospacing="0" w:after="75" w:afterAutospacing="0" w:line="360" w:lineRule="atLeast"/>
        <w:ind w:left="0" w:right="0" w:firstLine="555"/>
      </w:pPr>
      <w:r>
        <w:rPr>
          <w:rStyle w:val="5"/>
          <w:rFonts w:hint="eastAsia" w:ascii="宋体" w:hAnsi="宋体" w:eastAsia="宋体" w:cs="宋体"/>
          <w:sz w:val="28"/>
          <w:szCs w:val="28"/>
        </w:rPr>
        <w:t>建筑装饰施工图深化设计</w:t>
      </w:r>
    </w:p>
    <w:p>
      <w:pPr>
        <w:pStyle w:val="2"/>
        <w:keepNext w:val="0"/>
        <w:keepLines w:val="0"/>
        <w:widowControl/>
        <w:suppressLineNumbers w:val="0"/>
        <w:spacing w:before="75" w:beforeAutospacing="0" w:after="75" w:afterAutospacing="0"/>
        <w:ind w:left="0" w:right="0" w:firstLine="600"/>
      </w:pPr>
      <w:r>
        <w:rPr>
          <w:rFonts w:hint="eastAsia" w:ascii="仿宋" w:hAnsi="仿宋" w:eastAsia="仿宋" w:cs="仿宋"/>
          <w:sz w:val="30"/>
          <w:szCs w:val="30"/>
        </w:rPr>
        <w:t>要求：参赛选手团队共同上机操作，通过AutoCAD2014、AutoCAD2020建筑绘图软件，合作完成建筑装饰工程项目中某些空间未完成的建筑施工图深化设计，包括封面、目录、施工图设计说明、平面布置图、地面铺装图、顶平面图、立面图、剖面图、节点大样图等，并最终以*.dwg文件格式和A3规格的*.pdf文件格式提交比赛作品。</w:t>
      </w:r>
    </w:p>
    <w:p>
      <w:pPr>
        <w:pStyle w:val="2"/>
        <w:keepNext w:val="0"/>
        <w:keepLines w:val="0"/>
        <w:widowControl/>
        <w:suppressLineNumbers w:val="0"/>
        <w:spacing w:before="75" w:beforeAutospacing="0" w:after="75" w:afterAutospacing="0" w:line="360" w:lineRule="atLeast"/>
        <w:ind w:left="0" w:right="0" w:firstLine="555"/>
      </w:pPr>
      <w:r>
        <w:rPr>
          <w:rStyle w:val="5"/>
          <w:rFonts w:hint="eastAsia" w:ascii="宋体" w:hAnsi="宋体" w:eastAsia="宋体" w:cs="宋体"/>
          <w:sz w:val="28"/>
          <w:szCs w:val="28"/>
        </w:rPr>
        <w:t>建筑装饰工程量清单编制</w:t>
      </w:r>
    </w:p>
    <w:p>
      <w:pPr>
        <w:pStyle w:val="2"/>
        <w:keepNext w:val="0"/>
        <w:keepLines w:val="0"/>
        <w:widowControl/>
        <w:suppressLineNumbers w:val="0"/>
        <w:spacing w:before="75" w:beforeAutospacing="0" w:after="75" w:afterAutospacing="0"/>
        <w:ind w:left="0" w:right="0" w:firstLine="600"/>
      </w:pPr>
      <w:r>
        <w:rPr>
          <w:rFonts w:hint="eastAsia" w:ascii="仿宋" w:hAnsi="仿宋" w:eastAsia="仿宋" w:cs="仿宋"/>
          <w:sz w:val="30"/>
          <w:szCs w:val="30"/>
        </w:rPr>
        <w:t>要求：参赛选手上机操作，通过Excel软件，手工列项及算量，最终以*.xls或*.xlsx文件格式提交比赛作品。</w:t>
      </w:r>
    </w:p>
    <w:p>
      <w:pPr>
        <w:pStyle w:val="2"/>
        <w:keepNext w:val="0"/>
        <w:keepLines w:val="0"/>
        <w:widowControl/>
        <w:suppressLineNumbers w:val="0"/>
        <w:spacing w:before="75" w:beforeAutospacing="0" w:after="75" w:afterAutospacing="0" w:line="555" w:lineRule="atLeast"/>
        <w:ind w:left="0" w:right="0" w:firstLine="555"/>
      </w:pPr>
      <w:r>
        <w:rPr>
          <w:rFonts w:ascii="仿宋_GB2312" w:eastAsia="仿宋_GB2312" w:cs="仿宋_GB2312"/>
          <w:sz w:val="28"/>
          <w:szCs w:val="28"/>
        </w:rPr>
        <w:t>4.评分细则</w:t>
      </w:r>
    </w:p>
    <w:p>
      <w:pPr>
        <w:pStyle w:val="2"/>
        <w:keepNext w:val="0"/>
        <w:keepLines w:val="0"/>
        <w:widowControl/>
        <w:suppressLineNumbers w:val="0"/>
        <w:spacing w:before="75" w:beforeAutospacing="0" w:after="150" w:afterAutospacing="0" w:line="555" w:lineRule="atLeast"/>
        <w:ind w:left="0" w:right="0"/>
        <w:jc w:val="center"/>
      </w:pPr>
      <w:r>
        <w:rPr>
          <w:rStyle w:val="5"/>
          <w:rFonts w:hint="default" w:ascii="仿宋_GB2312" w:eastAsia="仿宋_GB2312" w:cs="仿宋_GB2312"/>
          <w:sz w:val="28"/>
          <w:szCs w:val="28"/>
        </w:rPr>
        <w:t>任务一 “建筑装饰施工图”竞赛任务评分细则</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02"/>
        <w:gridCol w:w="1036"/>
        <w:gridCol w:w="420"/>
        <w:gridCol w:w="4224"/>
        <w:gridCol w:w="22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30" w:hRule="atLeast"/>
        </w:trPr>
        <w:tc>
          <w:tcPr>
            <w:tcW w:w="420" w:type="dxa"/>
            <w:vMerge w:val="restart"/>
            <w:tcBorders>
              <w:top w:val="single" w:color="auto" w:sz="6" w:space="0"/>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default" w:ascii="仿宋_GB2312" w:eastAsia="仿宋_GB2312" w:cs="仿宋_GB2312"/>
                <w:sz w:val="24"/>
                <w:szCs w:val="24"/>
                <w:bdr w:val="none" w:color="auto" w:sz="0" w:space="0"/>
              </w:rPr>
              <w:t>序号</w:t>
            </w:r>
          </w:p>
        </w:tc>
        <w:tc>
          <w:tcPr>
            <w:tcW w:w="1125" w:type="dxa"/>
            <w:vMerge w:val="restart"/>
            <w:tcBorders>
              <w:top w:val="single" w:color="auto" w:sz="6" w:space="0"/>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default" w:ascii="仿宋_GB2312" w:eastAsia="仿宋_GB2312" w:cs="仿宋_GB2312"/>
                <w:sz w:val="24"/>
                <w:szCs w:val="24"/>
                <w:bdr w:val="none" w:color="auto" w:sz="0" w:space="0"/>
              </w:rPr>
              <w:t>项目</w:t>
            </w:r>
          </w:p>
        </w:tc>
        <w:tc>
          <w:tcPr>
            <w:tcW w:w="420" w:type="dxa"/>
            <w:vMerge w:val="restart"/>
            <w:tcBorders>
              <w:top w:val="single" w:color="auto" w:sz="6" w:space="0"/>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default" w:ascii="仿宋_GB2312" w:eastAsia="仿宋_GB2312" w:cs="仿宋_GB2312"/>
                <w:sz w:val="24"/>
                <w:szCs w:val="24"/>
                <w:bdr w:val="none" w:color="auto" w:sz="0" w:space="0"/>
              </w:rPr>
              <w:t>分值</w:t>
            </w:r>
          </w:p>
        </w:tc>
        <w:tc>
          <w:tcPr>
            <w:tcW w:w="4860" w:type="dxa"/>
            <w:vMerge w:val="restart"/>
            <w:tcBorders>
              <w:top w:val="single" w:color="auto" w:sz="6" w:space="0"/>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default" w:ascii="仿宋_GB2312" w:eastAsia="仿宋_GB2312" w:cs="仿宋_GB2312"/>
                <w:sz w:val="24"/>
                <w:szCs w:val="24"/>
                <w:bdr w:val="none" w:color="auto" w:sz="0" w:space="0"/>
              </w:rPr>
              <w:t>评分点</w:t>
            </w:r>
          </w:p>
        </w:tc>
        <w:tc>
          <w:tcPr>
            <w:tcW w:w="2595" w:type="dxa"/>
            <w:tcBorders>
              <w:top w:val="single" w:color="auto" w:sz="6" w:space="0"/>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default" w:ascii="仿宋_GB2312" w:eastAsia="仿宋_GB2312" w:cs="仿宋_GB2312"/>
                <w:sz w:val="24"/>
                <w:szCs w:val="24"/>
                <w:bdr w:val="none" w:color="auto" w:sz="0" w:space="0"/>
              </w:rPr>
              <w:t>评分标准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420" w:type="dxa"/>
            <w:vMerge w:val="continue"/>
            <w:tcBorders>
              <w:top w:val="single" w:color="auto" w:sz="6" w:space="0"/>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rPr>
                <w:rFonts w:hint="eastAsia" w:ascii="宋体"/>
                <w:sz w:val="24"/>
                <w:szCs w:val="24"/>
              </w:rPr>
            </w:pPr>
          </w:p>
        </w:tc>
        <w:tc>
          <w:tcPr>
            <w:tcW w:w="1125" w:type="dxa"/>
            <w:vMerge w:val="continue"/>
            <w:tcBorders>
              <w:top w:val="single" w:color="auto" w:sz="6" w:space="0"/>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rPr>
                <w:rFonts w:hint="eastAsia" w:ascii="宋体"/>
                <w:sz w:val="24"/>
                <w:szCs w:val="24"/>
              </w:rPr>
            </w:pPr>
          </w:p>
        </w:tc>
        <w:tc>
          <w:tcPr>
            <w:tcW w:w="420" w:type="dxa"/>
            <w:vMerge w:val="continue"/>
            <w:tcBorders>
              <w:top w:val="single" w:color="auto" w:sz="6" w:space="0"/>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rPr>
                <w:rFonts w:hint="eastAsia" w:ascii="宋体"/>
                <w:sz w:val="24"/>
                <w:szCs w:val="24"/>
              </w:rPr>
            </w:pPr>
          </w:p>
        </w:tc>
        <w:tc>
          <w:tcPr>
            <w:tcW w:w="4860" w:type="dxa"/>
            <w:vMerge w:val="continue"/>
            <w:tcBorders>
              <w:top w:val="single" w:color="auto" w:sz="6" w:space="0"/>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rPr>
                <w:rFonts w:hint="eastAsia" w:ascii="宋体"/>
                <w:sz w:val="24"/>
                <w:szCs w:val="24"/>
              </w:rPr>
            </w:pPr>
          </w:p>
        </w:tc>
        <w:tc>
          <w:tcPr>
            <w:tcW w:w="2595"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default" w:ascii="仿宋_GB2312" w:eastAsia="仿宋_GB2312" w:cs="仿宋_GB2312"/>
                <w:sz w:val="24"/>
                <w:szCs w:val="24"/>
                <w:bdr w:val="none" w:color="auto" w:sz="0" w:space="0"/>
              </w:rPr>
              <w:t>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420"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1</w:t>
            </w:r>
          </w:p>
        </w:tc>
        <w:tc>
          <w:tcPr>
            <w:tcW w:w="1125"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封面</w:t>
            </w:r>
          </w:p>
        </w:tc>
        <w:tc>
          <w:tcPr>
            <w:tcW w:w="420"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1</w:t>
            </w:r>
          </w:p>
        </w:tc>
        <w:tc>
          <w:tcPr>
            <w:tcW w:w="4860"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信息正确、美观。</w:t>
            </w:r>
          </w:p>
        </w:tc>
        <w:tc>
          <w:tcPr>
            <w:tcW w:w="2595"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绘制规范得1分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无封面扣1分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160" w:hRule="atLeast"/>
        </w:trPr>
        <w:tc>
          <w:tcPr>
            <w:tcW w:w="420"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2</w:t>
            </w:r>
          </w:p>
        </w:tc>
        <w:tc>
          <w:tcPr>
            <w:tcW w:w="1125"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目录</w:t>
            </w:r>
          </w:p>
        </w:tc>
        <w:tc>
          <w:tcPr>
            <w:tcW w:w="420"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1</w:t>
            </w:r>
          </w:p>
        </w:tc>
        <w:tc>
          <w:tcPr>
            <w:tcW w:w="4860"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目录内容完整，顺序正确。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内容及顺序：装饰设计说明、平面布置图、楼地面平面图、顶棚平面图、室内立面图、墙柱面装饰剖面图、装饰详图。</w:t>
            </w:r>
          </w:p>
        </w:tc>
        <w:tc>
          <w:tcPr>
            <w:tcW w:w="2595"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绘制规范、完整、顺序准确得1分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错漏一处扣0.5分，顺序不正确扣0.5分，正文图纸排布和目录不符扣0.5分，扣完为止。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545" w:hRule="atLeast"/>
        </w:trPr>
        <w:tc>
          <w:tcPr>
            <w:tcW w:w="420"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3</w:t>
            </w:r>
          </w:p>
        </w:tc>
        <w:tc>
          <w:tcPr>
            <w:tcW w:w="1125"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施工图设计说明</w:t>
            </w:r>
          </w:p>
        </w:tc>
        <w:tc>
          <w:tcPr>
            <w:tcW w:w="420"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4</w:t>
            </w:r>
          </w:p>
        </w:tc>
        <w:tc>
          <w:tcPr>
            <w:tcW w:w="4860"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施工说明内容应包含：工程概况、设计风格、施工工艺、做法及注意事项。</w:t>
            </w:r>
          </w:p>
        </w:tc>
        <w:tc>
          <w:tcPr>
            <w:tcW w:w="2595"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漏一项扣1分，每项中内容中每出现一处不完整、不准确扣0.5分，扣完为止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30" w:hRule="atLeast"/>
        </w:trPr>
        <w:tc>
          <w:tcPr>
            <w:tcW w:w="420"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4</w:t>
            </w:r>
          </w:p>
        </w:tc>
        <w:tc>
          <w:tcPr>
            <w:tcW w:w="1125"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主要材料表</w:t>
            </w:r>
          </w:p>
        </w:tc>
        <w:tc>
          <w:tcPr>
            <w:tcW w:w="420"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4</w:t>
            </w:r>
          </w:p>
        </w:tc>
        <w:tc>
          <w:tcPr>
            <w:tcW w:w="4860"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材料选用、材料表编制。</w:t>
            </w:r>
          </w:p>
        </w:tc>
        <w:tc>
          <w:tcPr>
            <w:tcW w:w="2595"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材料描述完整准确，和图纸对应，表格完善清晰得4分；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每出现一处不完整、不准确以及不清晰处扣0.5分，扣完为止。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035" w:hRule="atLeast"/>
        </w:trPr>
        <w:tc>
          <w:tcPr>
            <w:tcW w:w="420"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5</w:t>
            </w:r>
          </w:p>
        </w:tc>
        <w:tc>
          <w:tcPr>
            <w:tcW w:w="1125"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平面布置图</w:t>
            </w:r>
          </w:p>
        </w:tc>
        <w:tc>
          <w:tcPr>
            <w:tcW w:w="420"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5</w:t>
            </w:r>
          </w:p>
        </w:tc>
        <w:tc>
          <w:tcPr>
            <w:tcW w:w="4860"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a、图纸比例、图幅。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b、标注：标高等标注。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c、空间位置：各功能空间的家具、陈设、隔断、绿化等的形状、位置。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d、尺寸标注：装饰尺寸标注，如隔断、家具、装饰造型等的定形、定位尺寸。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e、符号：内视投影符号、详图索引符号等。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f、说明：文字说明、图名比例。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g、图线：剖切到的墙柱轮廓、剖切符号用粗实线，未剖到但能看到的图线，如门扇开启符号、窗户图例、楼梯踏步、室内家具及绿化等用细实线表示。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h、所绘设计内容及形式应于方案设计图相符。</w:t>
            </w:r>
          </w:p>
        </w:tc>
        <w:tc>
          <w:tcPr>
            <w:tcW w:w="2595"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每漏一项扣1分；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每出现一处不规范、不准确的表达、绘制、符号等扣0.5分，扣完为止。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235" w:hRule="atLeast"/>
        </w:trPr>
        <w:tc>
          <w:tcPr>
            <w:tcW w:w="420"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6</w:t>
            </w:r>
          </w:p>
        </w:tc>
        <w:tc>
          <w:tcPr>
            <w:tcW w:w="1125"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地面铺装图</w:t>
            </w:r>
          </w:p>
        </w:tc>
        <w:tc>
          <w:tcPr>
            <w:tcW w:w="420"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5</w:t>
            </w:r>
          </w:p>
        </w:tc>
        <w:tc>
          <w:tcPr>
            <w:tcW w:w="4860"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a、图纸比例、图幅。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b、尺寸标注。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c、楼地面面层分格线和拼花造型等。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d、标注分格和造型尺寸。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e、细部做法的索引符号、图名比例。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f、图线：楼地面分格用细实线表示。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g、所绘设计内容及形式应于方案设计图相符。</w:t>
            </w:r>
          </w:p>
        </w:tc>
        <w:tc>
          <w:tcPr>
            <w:tcW w:w="2595"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每漏一项扣1分；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每出现一处不规范、不准确的表达、绘制、符号等扣0.5分，扣完为止。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5" w:hRule="atLeast"/>
        </w:trPr>
        <w:tc>
          <w:tcPr>
            <w:tcW w:w="420"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7</w:t>
            </w:r>
          </w:p>
        </w:tc>
        <w:tc>
          <w:tcPr>
            <w:tcW w:w="1125"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jc w:val="center"/>
            </w:pPr>
            <w:r>
              <w:rPr>
                <w:rFonts w:hint="default" w:ascii="仿宋_GB2312" w:eastAsia="仿宋_GB2312" w:cs="仿宋_GB2312"/>
                <w:sz w:val="24"/>
                <w:szCs w:val="24"/>
                <w:bdr w:val="none" w:color="auto" w:sz="0" w:space="0"/>
              </w:rPr>
              <w:t>顶平面图</w:t>
            </w:r>
          </w:p>
        </w:tc>
        <w:tc>
          <w:tcPr>
            <w:tcW w:w="420"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jc w:val="center"/>
            </w:pPr>
            <w:r>
              <w:rPr>
                <w:rFonts w:hint="default" w:ascii="仿宋_GB2312" w:eastAsia="仿宋_GB2312" w:cs="仿宋_GB2312"/>
                <w:sz w:val="24"/>
                <w:szCs w:val="24"/>
                <w:bdr w:val="none" w:color="auto" w:sz="0" w:space="0"/>
              </w:rPr>
              <w:t>10</w:t>
            </w:r>
          </w:p>
        </w:tc>
        <w:tc>
          <w:tcPr>
            <w:tcW w:w="4860"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pPr>
            <w:r>
              <w:rPr>
                <w:rFonts w:hint="default" w:ascii="仿宋_GB2312" w:eastAsia="仿宋_GB2312" w:cs="仿宋_GB2312"/>
                <w:sz w:val="24"/>
                <w:szCs w:val="24"/>
                <w:bdr w:val="none" w:color="auto" w:sz="0" w:space="0"/>
              </w:rPr>
              <w:t>a、建筑平面及门窗洞口：门画出门洞边线即可，不画门扇及开启线。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pPr>
            <w:r>
              <w:rPr>
                <w:rFonts w:hint="default" w:ascii="仿宋_GB2312" w:eastAsia="仿宋_GB2312" w:cs="仿宋_GB2312"/>
                <w:sz w:val="24"/>
                <w:szCs w:val="24"/>
                <w:bdr w:val="none" w:color="auto" w:sz="0" w:space="0"/>
              </w:rPr>
              <w:t>b、室内(外)顶棚的造型、尺寸、做法和说明，可画出顶棚的重合断面图并标注标高。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pPr>
            <w:r>
              <w:rPr>
                <w:rFonts w:hint="default" w:ascii="仿宋_GB2312" w:eastAsia="仿宋_GB2312" w:cs="仿宋_GB2312"/>
                <w:sz w:val="24"/>
                <w:szCs w:val="24"/>
                <w:bdr w:val="none" w:color="auto" w:sz="0" w:space="0"/>
              </w:rPr>
              <w:t>c、室内(外)顶棚灯具符号及具体位置。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pPr>
            <w:r>
              <w:rPr>
                <w:rFonts w:hint="default" w:ascii="仿宋_GB2312" w:eastAsia="仿宋_GB2312" w:cs="仿宋_GB2312"/>
                <w:sz w:val="24"/>
                <w:szCs w:val="24"/>
                <w:bdr w:val="none" w:color="auto" w:sz="0" w:space="0"/>
              </w:rPr>
              <w:t>d、室内各种顶棚的完成面标高。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pPr>
            <w:r>
              <w:rPr>
                <w:rFonts w:hint="default" w:ascii="仿宋_GB2312" w:eastAsia="仿宋_GB2312" w:cs="仿宋_GB2312"/>
                <w:sz w:val="24"/>
                <w:szCs w:val="24"/>
                <w:bdr w:val="none" w:color="auto" w:sz="0" w:space="0"/>
              </w:rPr>
              <w:t>e、与顶棚相接的家具、设备位置及尺寸。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pPr>
            <w:r>
              <w:rPr>
                <w:rFonts w:hint="default" w:ascii="仿宋_GB2312" w:eastAsia="仿宋_GB2312" w:cs="仿宋_GB2312"/>
                <w:sz w:val="24"/>
                <w:szCs w:val="24"/>
                <w:bdr w:val="none" w:color="auto" w:sz="0" w:space="0"/>
              </w:rPr>
              <w:t>f、窗帘及窗帘盒、窗帘帷幕板等。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pPr>
            <w:r>
              <w:rPr>
                <w:rFonts w:hint="default" w:ascii="仿宋_GB2312" w:eastAsia="仿宋_GB2312" w:cs="仿宋_GB2312"/>
                <w:sz w:val="24"/>
                <w:szCs w:val="24"/>
                <w:bdr w:val="none" w:color="auto" w:sz="0" w:space="0"/>
              </w:rPr>
              <w:t>g、</w:t>
            </w:r>
            <w:r>
              <w:rPr>
                <w:rFonts w:hint="default" w:ascii="仿宋_GB2312" w:eastAsia="仿宋_GB2312" w:cs="仿宋_GB2312"/>
                <w:spacing w:val="0"/>
                <w:sz w:val="24"/>
                <w:szCs w:val="24"/>
                <w:bdr w:val="none" w:color="auto" w:sz="0" w:space="0"/>
              </w:rPr>
              <w:t>空调送风口位置、消防自动报警系统及与吊顶有关的音视频设备的平面布置形式及安装位置。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pPr>
            <w:r>
              <w:rPr>
                <w:rFonts w:hint="default" w:ascii="仿宋_GB2312" w:eastAsia="仿宋_GB2312" w:cs="仿宋_GB2312"/>
                <w:sz w:val="24"/>
                <w:szCs w:val="24"/>
                <w:bdr w:val="none" w:color="auto" w:sz="0" w:space="0"/>
              </w:rPr>
              <w:t>h、图外标注开间、进深、总长、总宽等尺寸。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pPr>
            <w:r>
              <w:rPr>
                <w:rFonts w:hint="default" w:ascii="仿宋_GB2312" w:eastAsia="仿宋_GB2312" w:cs="仿宋_GB2312"/>
                <w:sz w:val="24"/>
                <w:szCs w:val="24"/>
                <w:bdr w:val="none" w:color="auto" w:sz="0" w:space="0"/>
              </w:rPr>
              <w:t>i、所绘设计内容及形式应于方案设计图相符。</w:t>
            </w:r>
          </w:p>
        </w:tc>
        <w:tc>
          <w:tcPr>
            <w:tcW w:w="2595"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每漏一项扣1分；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pPr>
            <w:r>
              <w:rPr>
                <w:rFonts w:hint="default" w:ascii="仿宋_GB2312" w:eastAsia="仿宋_GB2312" w:cs="仿宋_GB2312"/>
                <w:sz w:val="24"/>
                <w:szCs w:val="24"/>
                <w:bdr w:val="none" w:color="auto" w:sz="0" w:space="0"/>
              </w:rPr>
              <w:t>每出现一处不规范、不准确的表达、绘制、符号等扣0.5分，扣完为止。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590" w:hRule="atLeast"/>
        </w:trPr>
        <w:tc>
          <w:tcPr>
            <w:tcW w:w="420"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8</w:t>
            </w:r>
          </w:p>
        </w:tc>
        <w:tc>
          <w:tcPr>
            <w:tcW w:w="1125"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jc w:val="center"/>
            </w:pPr>
            <w:r>
              <w:rPr>
                <w:rFonts w:hint="default" w:ascii="仿宋_GB2312" w:eastAsia="仿宋_GB2312" w:cs="仿宋_GB2312"/>
                <w:sz w:val="24"/>
                <w:szCs w:val="24"/>
                <w:bdr w:val="none" w:color="auto" w:sz="0" w:space="0"/>
              </w:rPr>
              <w:t>立面图</w:t>
            </w:r>
          </w:p>
        </w:tc>
        <w:tc>
          <w:tcPr>
            <w:tcW w:w="420"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jc w:val="center"/>
            </w:pPr>
            <w:r>
              <w:rPr>
                <w:rFonts w:hint="default" w:ascii="仿宋_GB2312" w:eastAsia="仿宋_GB2312" w:cs="仿宋_GB2312"/>
                <w:sz w:val="24"/>
                <w:szCs w:val="24"/>
                <w:bdr w:val="none" w:color="auto" w:sz="0" w:space="0"/>
              </w:rPr>
              <w:t>30</w:t>
            </w:r>
          </w:p>
        </w:tc>
        <w:tc>
          <w:tcPr>
            <w:tcW w:w="4860"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pPr>
            <w:r>
              <w:rPr>
                <w:rFonts w:hint="default" w:ascii="仿宋_GB2312" w:eastAsia="仿宋_GB2312" w:cs="仿宋_GB2312"/>
                <w:sz w:val="24"/>
                <w:szCs w:val="24"/>
                <w:bdr w:val="none" w:color="auto" w:sz="0" w:space="0"/>
              </w:rPr>
              <w:t>a、室内立面轮廓线，顶棚有吊顶时可画出吊顶、叠级、灯槽等剖切轮廓线(粗实线表示)，墙面与吊</w:t>
            </w:r>
            <w:r>
              <w:rPr>
                <w:rFonts w:hint="default" w:ascii="仿宋_GB2312" w:eastAsia="仿宋_GB2312" w:cs="仿宋_GB2312"/>
                <w:spacing w:val="0"/>
                <w:sz w:val="24"/>
                <w:szCs w:val="24"/>
                <w:bdr w:val="none" w:color="auto" w:sz="0" w:space="0"/>
              </w:rPr>
              <w:t>顶的收口形式，可见的灯具投影图形等。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pPr>
            <w:r>
              <w:rPr>
                <w:rFonts w:hint="default" w:ascii="仿宋_GB2312" w:eastAsia="仿宋_GB2312" w:cs="仿宋_GB2312"/>
                <w:spacing w:val="0"/>
                <w:sz w:val="24"/>
                <w:szCs w:val="24"/>
                <w:bdr w:val="none" w:color="auto" w:sz="0" w:space="0"/>
              </w:rPr>
              <w:t>b、墙面装饰造型及陈设(如壁挂、工艺品等)，门窗造型及分格，墙面灯具、暖气罩等装饰内容。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pPr>
            <w:r>
              <w:rPr>
                <w:rFonts w:hint="default" w:ascii="仿宋_GB2312" w:eastAsia="仿宋_GB2312" w:cs="仿宋_GB2312"/>
                <w:sz w:val="24"/>
                <w:szCs w:val="24"/>
                <w:bdr w:val="none" w:color="auto" w:sz="0" w:space="0"/>
              </w:rPr>
              <w:t>c、</w:t>
            </w:r>
            <w:r>
              <w:rPr>
                <w:rFonts w:hint="default" w:ascii="仿宋_GB2312" w:eastAsia="仿宋_GB2312" w:cs="仿宋_GB2312"/>
                <w:spacing w:val="0"/>
                <w:sz w:val="24"/>
                <w:szCs w:val="24"/>
                <w:bdr w:val="none" w:color="auto" w:sz="0" w:space="0"/>
              </w:rPr>
              <w:t>装饰选材、立面的尺寸标高及做法说明。图外一般标注一至两道竖向及水平向尺寸，以及楼地面、顶棚等的装饰标高；图内一般应标注主要装饰造型的定形、定位尺寸。做法标注采用细实线引出。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pPr>
            <w:r>
              <w:rPr>
                <w:rFonts w:hint="default" w:ascii="仿宋_GB2312" w:eastAsia="仿宋_GB2312" w:cs="仿宋_GB2312"/>
                <w:sz w:val="24"/>
                <w:szCs w:val="24"/>
                <w:bdr w:val="none" w:color="auto" w:sz="0" w:space="0"/>
              </w:rPr>
              <w:t>d、附墙的固定家具及造型(如影视墙、壁柜)。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pPr>
            <w:r>
              <w:rPr>
                <w:rFonts w:hint="default" w:ascii="仿宋_GB2312" w:eastAsia="仿宋_GB2312" w:cs="仿宋_GB2312"/>
                <w:sz w:val="24"/>
                <w:szCs w:val="24"/>
                <w:bdr w:val="none" w:color="auto" w:sz="0" w:space="0"/>
              </w:rPr>
              <w:t>e、索引符号、说明文字、图名及比例等。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pPr>
            <w:r>
              <w:rPr>
                <w:rFonts w:hint="default" w:ascii="仿宋_GB2312" w:eastAsia="仿宋_GB2312" w:cs="仿宋_GB2312"/>
                <w:sz w:val="24"/>
                <w:szCs w:val="24"/>
                <w:bdr w:val="none" w:color="auto" w:sz="0" w:space="0"/>
              </w:rPr>
              <w:t>d、所绘设计内容及形式应于方案设计图相符。</w:t>
            </w:r>
          </w:p>
        </w:tc>
        <w:tc>
          <w:tcPr>
            <w:tcW w:w="2595"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每漏一项扣1分；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pPr>
            <w:r>
              <w:rPr>
                <w:rFonts w:hint="default" w:ascii="仿宋_GB2312" w:eastAsia="仿宋_GB2312" w:cs="仿宋_GB2312"/>
                <w:sz w:val="24"/>
                <w:szCs w:val="24"/>
                <w:bdr w:val="none" w:color="auto" w:sz="0" w:space="0"/>
              </w:rPr>
              <w:t>每出现一处不规范、不准确的表达、绘制、符号等扣0.5分，扣完为止。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80" w:hRule="atLeast"/>
        </w:trPr>
        <w:tc>
          <w:tcPr>
            <w:tcW w:w="420"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9</w:t>
            </w:r>
          </w:p>
        </w:tc>
        <w:tc>
          <w:tcPr>
            <w:tcW w:w="1125"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jc w:val="center"/>
            </w:pPr>
            <w:r>
              <w:rPr>
                <w:rFonts w:hint="default" w:ascii="仿宋_GB2312" w:eastAsia="仿宋_GB2312" w:cs="仿宋_GB2312"/>
                <w:sz w:val="24"/>
                <w:szCs w:val="24"/>
                <w:bdr w:val="none" w:color="auto" w:sz="0" w:space="0"/>
              </w:rPr>
              <w:t>剖面图及装饰详图</w:t>
            </w:r>
          </w:p>
        </w:tc>
        <w:tc>
          <w:tcPr>
            <w:tcW w:w="420"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jc w:val="center"/>
            </w:pPr>
            <w:r>
              <w:rPr>
                <w:rFonts w:hint="default" w:ascii="仿宋_GB2312" w:eastAsia="仿宋_GB2312" w:cs="仿宋_GB2312"/>
                <w:sz w:val="24"/>
                <w:szCs w:val="24"/>
                <w:bdr w:val="none" w:color="auto" w:sz="0" w:space="0"/>
              </w:rPr>
              <w:t>35</w:t>
            </w:r>
          </w:p>
        </w:tc>
        <w:tc>
          <w:tcPr>
            <w:tcW w:w="4860"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a、剖面和节点大样构造做法和层次、工艺做法、连接方式等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b、合理选择材料，以及材料的种类和规格等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c、尺寸标注等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pPr>
            <w:r>
              <w:rPr>
                <w:rFonts w:hint="default" w:ascii="仿宋_GB2312" w:eastAsia="仿宋_GB2312" w:cs="仿宋_GB2312"/>
                <w:sz w:val="24"/>
                <w:szCs w:val="24"/>
                <w:bdr w:val="none" w:color="auto" w:sz="0" w:space="0"/>
              </w:rPr>
              <w:t>d、索引符号、说明文字、图名及比例等。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pPr>
            <w:r>
              <w:rPr>
                <w:rFonts w:hint="default" w:ascii="仿宋_GB2312" w:eastAsia="仿宋_GB2312" w:cs="仿宋_GB2312"/>
                <w:sz w:val="24"/>
                <w:szCs w:val="24"/>
                <w:bdr w:val="none" w:color="auto" w:sz="0" w:space="0"/>
              </w:rPr>
              <w:t>e、所绘设计内容及形式应于方案设计图相符。</w:t>
            </w:r>
          </w:p>
        </w:tc>
        <w:tc>
          <w:tcPr>
            <w:tcW w:w="2595"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每漏一项扣1分；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pPr>
            <w:r>
              <w:rPr>
                <w:rFonts w:hint="default" w:ascii="仿宋_GB2312" w:eastAsia="仿宋_GB2312" w:cs="仿宋_GB2312"/>
                <w:sz w:val="24"/>
                <w:szCs w:val="24"/>
                <w:bdr w:val="none" w:color="auto" w:sz="0" w:space="0"/>
              </w:rPr>
              <w:t>每出现一处不规范、不准确的表达、绘制、符号等扣0.5分，扣完为止。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425" w:hRule="atLeast"/>
        </w:trPr>
        <w:tc>
          <w:tcPr>
            <w:tcW w:w="420"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10</w:t>
            </w:r>
          </w:p>
        </w:tc>
        <w:tc>
          <w:tcPr>
            <w:tcW w:w="1125"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新技术、新材料、新设备、新工艺</w:t>
            </w:r>
          </w:p>
        </w:tc>
        <w:tc>
          <w:tcPr>
            <w:tcW w:w="420"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5</w:t>
            </w:r>
          </w:p>
        </w:tc>
        <w:tc>
          <w:tcPr>
            <w:tcW w:w="4860"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能够依据新技术、新材料、新设备、新工艺进行装饰材料的选用与设计、细部构造设计、施工工艺设计等。</w:t>
            </w:r>
          </w:p>
        </w:tc>
        <w:tc>
          <w:tcPr>
            <w:tcW w:w="2595"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每出现一处使用不合理、不科学的地方扣0.5分，扣完为止。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75" w:hRule="atLeast"/>
        </w:trPr>
        <w:tc>
          <w:tcPr>
            <w:tcW w:w="420"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keepNext w:val="0"/>
              <w:keepLines w:val="0"/>
              <w:widowControl/>
              <w:suppressLineNumbers w:val="0"/>
              <w:jc w:val="left"/>
            </w:pPr>
          </w:p>
        </w:tc>
        <w:tc>
          <w:tcPr>
            <w:tcW w:w="1125"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合计</w:t>
            </w:r>
          </w:p>
        </w:tc>
        <w:tc>
          <w:tcPr>
            <w:tcW w:w="420"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100</w:t>
            </w:r>
          </w:p>
        </w:tc>
        <w:tc>
          <w:tcPr>
            <w:tcW w:w="4860"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keepNext w:val="0"/>
              <w:keepLines w:val="0"/>
              <w:widowControl/>
              <w:suppressLineNumbers w:val="0"/>
              <w:jc w:val="left"/>
            </w:pPr>
          </w:p>
        </w:tc>
        <w:tc>
          <w:tcPr>
            <w:tcW w:w="2595" w:type="dxa"/>
            <w:tcBorders>
              <w:top w:val="nil"/>
              <w:left w:val="single" w:color="auto" w:sz="6" w:space="0"/>
              <w:bottom w:val="single" w:color="auto" w:sz="6" w:space="0"/>
              <w:right w:val="single" w:color="auto" w:sz="6" w:space="0"/>
            </w:tcBorders>
            <w:shd w:val="clear"/>
            <w:tcMar>
              <w:top w:w="0" w:type="dxa"/>
              <w:left w:w="30" w:type="dxa"/>
              <w:bottom w:w="0" w:type="dxa"/>
              <w:right w:w="30" w:type="dxa"/>
            </w:tcMar>
            <w:vAlign w:val="center"/>
          </w:tcPr>
          <w:p>
            <w:pPr>
              <w:keepNext w:val="0"/>
              <w:keepLines w:val="0"/>
              <w:widowControl/>
              <w:suppressLineNumbers w:val="0"/>
              <w:jc w:val="left"/>
            </w:pPr>
          </w:p>
        </w:tc>
      </w:tr>
    </w:tbl>
    <w:p>
      <w:pPr>
        <w:pStyle w:val="2"/>
        <w:keepNext w:val="0"/>
        <w:keepLines w:val="0"/>
        <w:widowControl/>
        <w:suppressLineNumbers w:val="0"/>
        <w:spacing w:before="75" w:beforeAutospacing="0" w:after="75" w:afterAutospacing="0"/>
        <w:ind w:left="0" w:right="0"/>
        <w:jc w:val="center"/>
      </w:pPr>
      <w:r>
        <w:rPr>
          <w:rStyle w:val="5"/>
          <w:rFonts w:hint="default" w:ascii="仿宋_GB2312" w:eastAsia="仿宋_GB2312" w:cs="仿宋_GB2312"/>
          <w:sz w:val="28"/>
          <w:szCs w:val="28"/>
        </w:rPr>
        <w:t> </w:t>
      </w:r>
    </w:p>
    <w:p>
      <w:pPr>
        <w:pStyle w:val="2"/>
        <w:keepNext w:val="0"/>
        <w:keepLines w:val="0"/>
        <w:widowControl/>
        <w:suppressLineNumbers w:val="0"/>
        <w:spacing w:before="75" w:beforeAutospacing="0" w:after="75" w:afterAutospacing="0"/>
        <w:ind w:left="0" w:right="0"/>
        <w:jc w:val="center"/>
      </w:pPr>
      <w:r>
        <w:rPr>
          <w:rStyle w:val="5"/>
          <w:rFonts w:hint="default" w:ascii="仿宋_GB2312" w:eastAsia="仿宋_GB2312" w:cs="仿宋_GB2312"/>
          <w:sz w:val="28"/>
          <w:szCs w:val="28"/>
        </w:rPr>
        <w:t>任务二</w:t>
      </w:r>
      <w:r>
        <w:rPr>
          <w:rStyle w:val="5"/>
          <w:rFonts w:hint="eastAsia" w:ascii="宋体" w:hAnsi="宋体" w:eastAsia="宋体" w:cs="宋体"/>
          <w:sz w:val="28"/>
          <w:szCs w:val="28"/>
        </w:rPr>
        <w:t>“</w:t>
      </w:r>
      <w:r>
        <w:rPr>
          <w:rStyle w:val="5"/>
          <w:rFonts w:hint="default" w:ascii="仿宋_GB2312" w:eastAsia="仿宋_GB2312" w:cs="仿宋_GB2312"/>
          <w:sz w:val="28"/>
          <w:szCs w:val="28"/>
        </w:rPr>
        <w:t>建筑装饰工程量清单编制</w:t>
      </w:r>
      <w:r>
        <w:rPr>
          <w:rStyle w:val="5"/>
          <w:rFonts w:hint="eastAsia" w:ascii="宋体" w:hAnsi="宋体" w:eastAsia="宋体" w:cs="宋体"/>
          <w:sz w:val="28"/>
          <w:szCs w:val="28"/>
        </w:rPr>
        <w:t>”</w:t>
      </w:r>
      <w:r>
        <w:rPr>
          <w:rStyle w:val="5"/>
          <w:rFonts w:hint="default" w:ascii="仿宋_GB2312" w:eastAsia="仿宋_GB2312" w:cs="仿宋_GB2312"/>
          <w:sz w:val="28"/>
          <w:szCs w:val="28"/>
        </w:rPr>
        <w:t>竞赛任务评分细则</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70"/>
        <w:gridCol w:w="1026"/>
        <w:gridCol w:w="599"/>
        <w:gridCol w:w="1113"/>
        <w:gridCol w:w="892"/>
        <w:gridCol w:w="2281"/>
        <w:gridCol w:w="1036"/>
        <w:gridCol w:w="10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480"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default" w:ascii="仿宋_GB2312" w:eastAsia="仿宋_GB2312" w:cs="仿宋_GB2312"/>
                <w:sz w:val="24"/>
                <w:szCs w:val="24"/>
                <w:bdr w:val="none" w:color="auto" w:sz="0" w:space="0"/>
              </w:rPr>
              <w:t>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default" w:ascii="仿宋_GB2312" w:eastAsia="仿宋_GB2312" w:cs="仿宋_GB2312"/>
                <w:sz w:val="24"/>
                <w:szCs w:val="24"/>
                <w:bdr w:val="none" w:color="auto" w:sz="0" w:space="0"/>
              </w:rPr>
              <w:t>号</w:t>
            </w:r>
          </w:p>
        </w:tc>
        <w:tc>
          <w:tcPr>
            <w:tcW w:w="1215"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default" w:ascii="仿宋_GB2312" w:eastAsia="仿宋_GB2312" w:cs="仿宋_GB2312"/>
                <w:sz w:val="24"/>
                <w:szCs w:val="24"/>
                <w:bdr w:val="none" w:color="auto" w:sz="0" w:space="0"/>
              </w:rPr>
              <w:t>项目</w:t>
            </w:r>
          </w:p>
        </w:tc>
        <w:tc>
          <w:tcPr>
            <w:tcW w:w="615"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default" w:ascii="仿宋_GB2312" w:eastAsia="仿宋_GB2312" w:cs="仿宋_GB2312"/>
                <w:sz w:val="24"/>
                <w:szCs w:val="24"/>
                <w:bdr w:val="none" w:color="auto" w:sz="0" w:space="0"/>
              </w:rPr>
              <w:t>分值</w:t>
            </w:r>
          </w:p>
        </w:tc>
        <w:tc>
          <w:tcPr>
            <w:tcW w:w="1350" w:type="dxa"/>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default" w:ascii="仿宋_GB2312" w:eastAsia="仿宋_GB2312" w:cs="仿宋_GB2312"/>
                <w:sz w:val="24"/>
                <w:szCs w:val="24"/>
                <w:bdr w:val="none" w:color="auto" w:sz="0" w:space="0"/>
              </w:rPr>
              <w:t>评分点</w:t>
            </w:r>
          </w:p>
        </w:tc>
        <w:tc>
          <w:tcPr>
            <w:tcW w:w="6180" w:type="dxa"/>
            <w:gridSpan w:val="4"/>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default" w:ascii="仿宋_GB2312" w:eastAsia="仿宋_GB2312" w:cs="仿宋_GB2312"/>
                <w:sz w:val="24"/>
                <w:szCs w:val="24"/>
                <w:bdr w:val="none" w:color="auto" w:sz="0" w:space="0"/>
              </w:rPr>
              <w:t>评分标准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10" w:hRule="atLeast"/>
        </w:trPr>
        <w:tc>
          <w:tcPr>
            <w:tcW w:w="48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21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61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35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00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项目编码</w:t>
            </w:r>
          </w:p>
        </w:tc>
        <w:tc>
          <w:tcPr>
            <w:tcW w:w="271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项目特征描述</w:t>
            </w:r>
          </w:p>
        </w:tc>
        <w:tc>
          <w:tcPr>
            <w:tcW w:w="123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计量单位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 </w:t>
            </w:r>
          </w:p>
        </w:tc>
        <w:tc>
          <w:tcPr>
            <w:tcW w:w="123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计算结果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65" w:hRule="atLeast"/>
        </w:trPr>
        <w:tc>
          <w:tcPr>
            <w:tcW w:w="48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21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615"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350" w:type="dxa"/>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00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占10%</w:t>
            </w:r>
          </w:p>
        </w:tc>
        <w:tc>
          <w:tcPr>
            <w:tcW w:w="271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占 30%</w:t>
            </w:r>
          </w:p>
        </w:tc>
        <w:tc>
          <w:tcPr>
            <w:tcW w:w="123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占10%</w:t>
            </w:r>
          </w:p>
        </w:tc>
        <w:tc>
          <w:tcPr>
            <w:tcW w:w="123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占 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80" w:hRule="atLeast"/>
        </w:trPr>
        <w:tc>
          <w:tcPr>
            <w:tcW w:w="48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1</w:t>
            </w:r>
          </w:p>
        </w:tc>
        <w:tc>
          <w:tcPr>
            <w:tcW w:w="121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砌筑工程</w:t>
            </w:r>
          </w:p>
        </w:tc>
        <w:tc>
          <w:tcPr>
            <w:tcW w:w="61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5</w:t>
            </w:r>
          </w:p>
        </w:tc>
        <w:tc>
          <w:tcPr>
            <w:tcW w:w="1350"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项目编码要符合规范要求；按照规范要求项目划分；特征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描述完整，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构造、材料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描述详细；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单位正确；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工程量计算表达明确，计算符合规范要求；计算结果正确性。</w:t>
            </w:r>
          </w:p>
        </w:tc>
        <w:tc>
          <w:tcPr>
            <w:tcW w:w="1005"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每出现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一处错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误扣0.5</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分，扣完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为止</w:t>
            </w:r>
          </w:p>
        </w:tc>
        <w:tc>
          <w:tcPr>
            <w:tcW w:w="2715"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完整正确得90%—100%；基本完整正确得75%—90%；主要内容有描述但不完整得60%—75%；主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要内容没描述得分低于60%。每出现一处错误扣 0.5 分，扣完为止。</w:t>
            </w:r>
          </w:p>
        </w:tc>
        <w:tc>
          <w:tcPr>
            <w:tcW w:w="1230"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每出现一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处单位错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误扣0.5</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分，扣完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为止</w:t>
            </w:r>
          </w:p>
        </w:tc>
        <w:tc>
          <w:tcPr>
            <w:tcW w:w="1230"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计算结</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果误差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在 5%以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内的得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该项满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计算结</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果误差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超过 5%</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不得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4"/>
                <w:szCs w:val="24"/>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8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2</w:t>
            </w:r>
          </w:p>
        </w:tc>
        <w:tc>
          <w:tcPr>
            <w:tcW w:w="121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门窗工程</w:t>
            </w:r>
          </w:p>
        </w:tc>
        <w:tc>
          <w:tcPr>
            <w:tcW w:w="61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5</w:t>
            </w:r>
          </w:p>
        </w:tc>
        <w:tc>
          <w:tcPr>
            <w:tcW w:w="135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rPr>
                <w:rFonts w:hint="eastAsia" w:ascii="宋体"/>
                <w:sz w:val="24"/>
                <w:szCs w:val="24"/>
              </w:rPr>
            </w:pPr>
          </w:p>
        </w:tc>
        <w:tc>
          <w:tcPr>
            <w:tcW w:w="100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rPr>
                <w:rFonts w:hint="eastAsia" w:ascii="宋体"/>
                <w:sz w:val="24"/>
                <w:szCs w:val="24"/>
              </w:rPr>
            </w:pPr>
          </w:p>
        </w:tc>
        <w:tc>
          <w:tcPr>
            <w:tcW w:w="27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rPr>
                <w:rFonts w:hint="eastAsia" w:ascii="宋体"/>
                <w:sz w:val="24"/>
                <w:szCs w:val="24"/>
              </w:rPr>
            </w:pPr>
          </w:p>
        </w:tc>
        <w:tc>
          <w:tcPr>
            <w:tcW w:w="123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rPr>
                <w:rFonts w:hint="eastAsia" w:ascii="宋体"/>
                <w:sz w:val="24"/>
                <w:szCs w:val="24"/>
              </w:rPr>
            </w:pPr>
          </w:p>
        </w:tc>
        <w:tc>
          <w:tcPr>
            <w:tcW w:w="123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80" w:hRule="atLeast"/>
        </w:trPr>
        <w:tc>
          <w:tcPr>
            <w:tcW w:w="48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3</w:t>
            </w:r>
          </w:p>
        </w:tc>
        <w:tc>
          <w:tcPr>
            <w:tcW w:w="121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楼地面工程</w:t>
            </w:r>
          </w:p>
        </w:tc>
        <w:tc>
          <w:tcPr>
            <w:tcW w:w="61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20</w:t>
            </w:r>
          </w:p>
        </w:tc>
        <w:tc>
          <w:tcPr>
            <w:tcW w:w="135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rPr>
                <w:rFonts w:hint="eastAsia" w:ascii="宋体"/>
                <w:sz w:val="24"/>
                <w:szCs w:val="24"/>
              </w:rPr>
            </w:pPr>
          </w:p>
        </w:tc>
        <w:tc>
          <w:tcPr>
            <w:tcW w:w="100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rPr>
                <w:rFonts w:hint="eastAsia" w:ascii="宋体"/>
                <w:sz w:val="24"/>
                <w:szCs w:val="24"/>
              </w:rPr>
            </w:pPr>
          </w:p>
        </w:tc>
        <w:tc>
          <w:tcPr>
            <w:tcW w:w="27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rPr>
                <w:rFonts w:hint="eastAsia" w:ascii="宋体"/>
                <w:sz w:val="24"/>
                <w:szCs w:val="24"/>
              </w:rPr>
            </w:pPr>
          </w:p>
        </w:tc>
        <w:tc>
          <w:tcPr>
            <w:tcW w:w="123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rPr>
                <w:rFonts w:hint="eastAsia" w:ascii="宋体"/>
                <w:sz w:val="24"/>
                <w:szCs w:val="24"/>
              </w:rPr>
            </w:pPr>
          </w:p>
        </w:tc>
        <w:tc>
          <w:tcPr>
            <w:tcW w:w="123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80" w:hRule="atLeast"/>
        </w:trPr>
        <w:tc>
          <w:tcPr>
            <w:tcW w:w="48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4</w:t>
            </w:r>
          </w:p>
        </w:tc>
        <w:tc>
          <w:tcPr>
            <w:tcW w:w="121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墙柱面工程</w:t>
            </w:r>
          </w:p>
        </w:tc>
        <w:tc>
          <w:tcPr>
            <w:tcW w:w="61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15</w:t>
            </w:r>
          </w:p>
        </w:tc>
        <w:tc>
          <w:tcPr>
            <w:tcW w:w="135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rPr>
                <w:rFonts w:hint="eastAsia" w:ascii="宋体"/>
                <w:sz w:val="24"/>
                <w:szCs w:val="24"/>
              </w:rPr>
            </w:pPr>
          </w:p>
        </w:tc>
        <w:tc>
          <w:tcPr>
            <w:tcW w:w="100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rPr>
                <w:rFonts w:hint="eastAsia" w:ascii="宋体"/>
                <w:sz w:val="24"/>
                <w:szCs w:val="24"/>
              </w:rPr>
            </w:pPr>
          </w:p>
        </w:tc>
        <w:tc>
          <w:tcPr>
            <w:tcW w:w="27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rPr>
                <w:rFonts w:hint="eastAsia" w:ascii="宋体"/>
                <w:sz w:val="24"/>
                <w:szCs w:val="24"/>
              </w:rPr>
            </w:pPr>
          </w:p>
        </w:tc>
        <w:tc>
          <w:tcPr>
            <w:tcW w:w="123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rPr>
                <w:rFonts w:hint="eastAsia" w:ascii="宋体"/>
                <w:sz w:val="24"/>
                <w:szCs w:val="24"/>
              </w:rPr>
            </w:pPr>
          </w:p>
        </w:tc>
        <w:tc>
          <w:tcPr>
            <w:tcW w:w="123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80" w:hRule="atLeast"/>
        </w:trPr>
        <w:tc>
          <w:tcPr>
            <w:tcW w:w="48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5</w:t>
            </w:r>
          </w:p>
        </w:tc>
        <w:tc>
          <w:tcPr>
            <w:tcW w:w="121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天棚工程</w:t>
            </w:r>
          </w:p>
        </w:tc>
        <w:tc>
          <w:tcPr>
            <w:tcW w:w="61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20</w:t>
            </w:r>
          </w:p>
        </w:tc>
        <w:tc>
          <w:tcPr>
            <w:tcW w:w="135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rPr>
                <w:rFonts w:hint="eastAsia" w:ascii="宋体"/>
                <w:sz w:val="24"/>
                <w:szCs w:val="24"/>
              </w:rPr>
            </w:pPr>
          </w:p>
        </w:tc>
        <w:tc>
          <w:tcPr>
            <w:tcW w:w="100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rPr>
                <w:rFonts w:hint="eastAsia" w:ascii="宋体"/>
                <w:sz w:val="24"/>
                <w:szCs w:val="24"/>
              </w:rPr>
            </w:pPr>
          </w:p>
        </w:tc>
        <w:tc>
          <w:tcPr>
            <w:tcW w:w="27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rPr>
                <w:rFonts w:hint="eastAsia" w:ascii="宋体"/>
                <w:sz w:val="24"/>
                <w:szCs w:val="24"/>
              </w:rPr>
            </w:pPr>
          </w:p>
        </w:tc>
        <w:tc>
          <w:tcPr>
            <w:tcW w:w="123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rPr>
                <w:rFonts w:hint="eastAsia" w:ascii="宋体"/>
                <w:sz w:val="24"/>
                <w:szCs w:val="24"/>
              </w:rPr>
            </w:pPr>
          </w:p>
        </w:tc>
        <w:tc>
          <w:tcPr>
            <w:tcW w:w="123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975" w:hRule="atLeast"/>
        </w:trPr>
        <w:tc>
          <w:tcPr>
            <w:tcW w:w="48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6</w:t>
            </w:r>
          </w:p>
        </w:tc>
        <w:tc>
          <w:tcPr>
            <w:tcW w:w="121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油漆、涂料、裱糊工程</w:t>
            </w:r>
          </w:p>
        </w:tc>
        <w:tc>
          <w:tcPr>
            <w:tcW w:w="61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10</w:t>
            </w:r>
          </w:p>
        </w:tc>
        <w:tc>
          <w:tcPr>
            <w:tcW w:w="135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rPr>
                <w:rFonts w:hint="eastAsia" w:ascii="宋体"/>
                <w:sz w:val="24"/>
                <w:szCs w:val="24"/>
              </w:rPr>
            </w:pPr>
          </w:p>
        </w:tc>
        <w:tc>
          <w:tcPr>
            <w:tcW w:w="100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rPr>
                <w:rFonts w:hint="eastAsia" w:ascii="宋体"/>
                <w:sz w:val="24"/>
                <w:szCs w:val="24"/>
              </w:rPr>
            </w:pPr>
          </w:p>
        </w:tc>
        <w:tc>
          <w:tcPr>
            <w:tcW w:w="27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rPr>
                <w:rFonts w:hint="eastAsia" w:ascii="宋体"/>
                <w:sz w:val="24"/>
                <w:szCs w:val="24"/>
              </w:rPr>
            </w:pPr>
          </w:p>
        </w:tc>
        <w:tc>
          <w:tcPr>
            <w:tcW w:w="123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rPr>
                <w:rFonts w:hint="eastAsia" w:ascii="宋体"/>
                <w:sz w:val="24"/>
                <w:szCs w:val="24"/>
              </w:rPr>
            </w:pPr>
          </w:p>
        </w:tc>
        <w:tc>
          <w:tcPr>
            <w:tcW w:w="123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975" w:hRule="atLeast"/>
        </w:trPr>
        <w:tc>
          <w:tcPr>
            <w:tcW w:w="48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7</w:t>
            </w:r>
          </w:p>
        </w:tc>
        <w:tc>
          <w:tcPr>
            <w:tcW w:w="121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其他装饰工程</w:t>
            </w:r>
          </w:p>
        </w:tc>
        <w:tc>
          <w:tcPr>
            <w:tcW w:w="61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5</w:t>
            </w:r>
          </w:p>
        </w:tc>
        <w:tc>
          <w:tcPr>
            <w:tcW w:w="135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rPr>
                <w:rFonts w:hint="eastAsia" w:ascii="宋体"/>
                <w:sz w:val="24"/>
                <w:szCs w:val="24"/>
              </w:rPr>
            </w:pPr>
          </w:p>
        </w:tc>
        <w:tc>
          <w:tcPr>
            <w:tcW w:w="100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rPr>
                <w:rFonts w:hint="eastAsia" w:ascii="宋体"/>
                <w:sz w:val="24"/>
                <w:szCs w:val="24"/>
              </w:rPr>
            </w:pPr>
          </w:p>
        </w:tc>
        <w:tc>
          <w:tcPr>
            <w:tcW w:w="27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rPr>
                <w:rFonts w:hint="eastAsia" w:ascii="宋体"/>
                <w:sz w:val="24"/>
                <w:szCs w:val="24"/>
              </w:rPr>
            </w:pPr>
          </w:p>
        </w:tc>
        <w:tc>
          <w:tcPr>
            <w:tcW w:w="123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rPr>
                <w:rFonts w:hint="eastAsia" w:ascii="宋体"/>
                <w:sz w:val="24"/>
                <w:szCs w:val="24"/>
              </w:rPr>
            </w:pPr>
          </w:p>
        </w:tc>
        <w:tc>
          <w:tcPr>
            <w:tcW w:w="123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8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8</w:t>
            </w:r>
          </w:p>
        </w:tc>
        <w:tc>
          <w:tcPr>
            <w:tcW w:w="121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拆除工程</w:t>
            </w:r>
          </w:p>
        </w:tc>
        <w:tc>
          <w:tcPr>
            <w:tcW w:w="61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15</w:t>
            </w:r>
          </w:p>
        </w:tc>
        <w:tc>
          <w:tcPr>
            <w:tcW w:w="135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rPr>
                <w:rFonts w:hint="eastAsia" w:ascii="宋体"/>
                <w:sz w:val="24"/>
                <w:szCs w:val="24"/>
              </w:rPr>
            </w:pPr>
          </w:p>
        </w:tc>
        <w:tc>
          <w:tcPr>
            <w:tcW w:w="100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rPr>
                <w:rFonts w:hint="eastAsia" w:ascii="宋体"/>
                <w:sz w:val="24"/>
                <w:szCs w:val="24"/>
              </w:rPr>
            </w:pPr>
          </w:p>
        </w:tc>
        <w:tc>
          <w:tcPr>
            <w:tcW w:w="27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rPr>
                <w:rFonts w:hint="eastAsia" w:ascii="宋体"/>
                <w:sz w:val="24"/>
                <w:szCs w:val="24"/>
              </w:rPr>
            </w:pPr>
          </w:p>
        </w:tc>
        <w:tc>
          <w:tcPr>
            <w:tcW w:w="123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rPr>
                <w:rFonts w:hint="eastAsia" w:ascii="宋体"/>
                <w:sz w:val="24"/>
                <w:szCs w:val="24"/>
              </w:rPr>
            </w:pPr>
          </w:p>
        </w:tc>
        <w:tc>
          <w:tcPr>
            <w:tcW w:w="123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8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9</w:t>
            </w:r>
          </w:p>
        </w:tc>
        <w:tc>
          <w:tcPr>
            <w:tcW w:w="121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措施项目</w:t>
            </w:r>
          </w:p>
        </w:tc>
        <w:tc>
          <w:tcPr>
            <w:tcW w:w="61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5</w:t>
            </w:r>
          </w:p>
        </w:tc>
        <w:tc>
          <w:tcPr>
            <w:tcW w:w="135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rPr>
                <w:rFonts w:hint="eastAsia" w:ascii="宋体"/>
                <w:sz w:val="24"/>
                <w:szCs w:val="24"/>
              </w:rPr>
            </w:pPr>
          </w:p>
        </w:tc>
        <w:tc>
          <w:tcPr>
            <w:tcW w:w="100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rPr>
                <w:rFonts w:hint="eastAsia" w:ascii="宋体"/>
                <w:sz w:val="24"/>
                <w:szCs w:val="24"/>
              </w:rPr>
            </w:pPr>
          </w:p>
        </w:tc>
        <w:tc>
          <w:tcPr>
            <w:tcW w:w="27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rPr>
                <w:rFonts w:hint="eastAsia" w:ascii="宋体"/>
                <w:sz w:val="24"/>
                <w:szCs w:val="24"/>
              </w:rPr>
            </w:pPr>
          </w:p>
        </w:tc>
        <w:tc>
          <w:tcPr>
            <w:tcW w:w="123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rPr>
                <w:rFonts w:hint="eastAsia" w:ascii="宋体"/>
                <w:sz w:val="24"/>
                <w:szCs w:val="24"/>
              </w:rPr>
            </w:pPr>
          </w:p>
        </w:tc>
        <w:tc>
          <w:tcPr>
            <w:tcW w:w="123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8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121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合计</w:t>
            </w:r>
          </w:p>
        </w:tc>
        <w:tc>
          <w:tcPr>
            <w:tcW w:w="61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eastAsia="仿宋_GB2312" w:cs="仿宋_GB2312"/>
                <w:sz w:val="24"/>
                <w:szCs w:val="24"/>
                <w:bdr w:val="none" w:color="auto" w:sz="0" w:space="0"/>
              </w:rPr>
              <w:t>100</w:t>
            </w:r>
          </w:p>
        </w:tc>
        <w:tc>
          <w:tcPr>
            <w:tcW w:w="135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pPr>
          </w:p>
        </w:tc>
        <w:tc>
          <w:tcPr>
            <w:tcW w:w="100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pPr>
          </w:p>
        </w:tc>
        <w:tc>
          <w:tcPr>
            <w:tcW w:w="271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pPr>
          </w:p>
        </w:tc>
        <w:tc>
          <w:tcPr>
            <w:tcW w:w="123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pPr>
          </w:p>
        </w:tc>
        <w:tc>
          <w:tcPr>
            <w:tcW w:w="123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pPr>
          </w:p>
        </w:tc>
      </w:tr>
    </w:tbl>
    <w:p>
      <w:pPr>
        <w:pStyle w:val="2"/>
        <w:keepNext w:val="0"/>
        <w:keepLines w:val="0"/>
        <w:widowControl/>
        <w:suppressLineNumbers w:val="0"/>
        <w:spacing w:before="75" w:beforeAutospacing="0" w:after="75" w:afterAutospacing="0"/>
        <w:ind w:left="0" w:right="0"/>
      </w:pPr>
      <w:r>
        <w:rPr>
          <w:rStyle w:val="5"/>
          <w:rFonts w:hint="default" w:ascii="仿宋_GB2312" w:eastAsia="仿宋_GB2312" w:cs="仿宋_GB2312"/>
          <w:sz w:val="28"/>
          <w:szCs w:val="28"/>
        </w:rPr>
        <w:t>总分计算</w:t>
      </w:r>
    </w:p>
    <w:p>
      <w:pPr>
        <w:pStyle w:val="2"/>
        <w:keepNext w:val="0"/>
        <w:keepLines w:val="0"/>
        <w:widowControl/>
        <w:suppressLineNumbers w:val="0"/>
        <w:spacing w:before="75" w:beforeAutospacing="0" w:after="75" w:afterAutospacing="0"/>
        <w:ind w:left="0" w:right="0" w:firstLine="480"/>
      </w:pPr>
      <w:r>
        <w:rPr>
          <w:rFonts w:hint="default" w:ascii="仿宋_GB2312" w:eastAsia="仿宋_GB2312" w:cs="仿宋_GB2312"/>
          <w:sz w:val="24"/>
          <w:szCs w:val="24"/>
        </w:rPr>
        <w:t>任务一“建筑装饰施工图深化设计”占65%，任务二 “建筑装饰工程量清单编制”占35%，核算每个团队的总分。</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360" w:lineRule="atLeast"/>
        <w:ind w:left="0" w:right="0"/>
      </w:pPr>
      <w:r>
        <w:rPr>
          <w:rFonts w:hint="eastAsia" w:ascii="宋体" w:hAnsi="宋体" w:eastAsia="宋体" w:cs="宋体"/>
          <w:sz w:val="24"/>
          <w:szCs w:val="24"/>
        </w:rPr>
        <w:t>附件</w:t>
      </w:r>
      <w:r>
        <w:rPr>
          <w:rFonts w:hint="default" w:ascii="Times New Roman" w:hAnsi="Times New Roman" w:eastAsia="宋体" w:cs="Times New Roman"/>
          <w:sz w:val="24"/>
          <w:szCs w:val="24"/>
        </w:rPr>
        <w:t>2</w:t>
      </w:r>
    </w:p>
    <w:p>
      <w:pPr>
        <w:pStyle w:val="2"/>
        <w:keepNext w:val="0"/>
        <w:keepLines w:val="0"/>
        <w:widowControl/>
        <w:suppressLineNumbers w:val="0"/>
        <w:spacing w:before="75" w:beforeAutospacing="0" w:after="75" w:afterAutospacing="0"/>
        <w:ind w:left="0" w:right="0"/>
        <w:jc w:val="center"/>
      </w:pPr>
      <w:r>
        <w:rPr>
          <w:rStyle w:val="5"/>
          <w:rFonts w:hint="eastAsia" w:ascii="宋体" w:hAnsi="宋体" w:eastAsia="宋体" w:cs="宋体"/>
          <w:sz w:val="28"/>
          <w:szCs w:val="28"/>
        </w:rPr>
        <w:t>2023年建筑装饰数字化施工比赛报名表</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596"/>
        <w:gridCol w:w="820"/>
        <w:gridCol w:w="642"/>
        <w:gridCol w:w="993"/>
        <w:gridCol w:w="1371"/>
        <w:gridCol w:w="1061"/>
        <w:gridCol w:w="1633"/>
        <w:gridCol w:w="14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05" w:hRule="atLeast"/>
        </w:trPr>
        <w:tc>
          <w:tcPr>
            <w:tcW w:w="69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宋体" w:hAnsi="宋体" w:eastAsia="宋体" w:cs="宋体"/>
                <w:sz w:val="24"/>
                <w:szCs w:val="24"/>
                <w:bdr w:val="none" w:color="auto" w:sz="0" w:space="0"/>
              </w:rPr>
              <w:t>序号</w:t>
            </w:r>
          </w:p>
        </w:tc>
        <w:tc>
          <w:tcPr>
            <w:tcW w:w="93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宋体" w:hAnsi="宋体" w:eastAsia="宋体" w:cs="宋体"/>
                <w:sz w:val="24"/>
                <w:szCs w:val="24"/>
                <w:bdr w:val="none" w:color="auto" w:sz="0" w:space="0"/>
              </w:rPr>
              <w:t>班级</w:t>
            </w:r>
          </w:p>
        </w:tc>
        <w:tc>
          <w:tcPr>
            <w:tcW w:w="76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宋体" w:hAnsi="宋体" w:eastAsia="宋体" w:cs="宋体"/>
                <w:sz w:val="24"/>
                <w:szCs w:val="24"/>
                <w:bdr w:val="none" w:color="auto" w:sz="0" w:space="0"/>
              </w:rPr>
              <w:t>校区</w:t>
            </w:r>
          </w:p>
        </w:tc>
        <w:tc>
          <w:tcPr>
            <w:tcW w:w="121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宋体" w:hAnsi="宋体" w:eastAsia="宋体" w:cs="宋体"/>
                <w:sz w:val="24"/>
                <w:szCs w:val="24"/>
                <w:bdr w:val="none" w:color="auto" w:sz="0" w:space="0"/>
              </w:rPr>
              <w:t>团队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宋体" w:hAnsi="宋体" w:eastAsia="宋体" w:cs="宋体"/>
                <w:sz w:val="24"/>
                <w:szCs w:val="24"/>
                <w:bdr w:val="none" w:color="auto" w:sz="0" w:space="0"/>
              </w:rPr>
              <w:t>名称</w:t>
            </w:r>
          </w:p>
        </w:tc>
        <w:tc>
          <w:tcPr>
            <w:tcW w:w="141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宋体" w:hAnsi="宋体" w:eastAsia="宋体" w:cs="宋体"/>
                <w:sz w:val="24"/>
                <w:szCs w:val="24"/>
                <w:bdr w:val="none" w:color="auto" w:sz="0" w:space="0"/>
              </w:rPr>
              <w:t>学号</w:t>
            </w:r>
          </w:p>
        </w:tc>
        <w:tc>
          <w:tcPr>
            <w:tcW w:w="145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宋体" w:hAnsi="宋体" w:eastAsia="宋体" w:cs="宋体"/>
                <w:sz w:val="24"/>
                <w:szCs w:val="24"/>
                <w:bdr w:val="none" w:color="auto" w:sz="0" w:space="0"/>
              </w:rPr>
              <w:t>姓名</w:t>
            </w:r>
          </w:p>
        </w:tc>
        <w:tc>
          <w:tcPr>
            <w:tcW w:w="177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宋体" w:hAnsi="宋体" w:eastAsia="宋体" w:cs="宋体"/>
                <w:sz w:val="24"/>
                <w:szCs w:val="24"/>
                <w:bdr w:val="none" w:color="auto" w:sz="0" w:space="0"/>
              </w:rPr>
              <w:t>手机号码</w:t>
            </w:r>
          </w:p>
        </w:tc>
        <w:tc>
          <w:tcPr>
            <w:tcW w:w="153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宋体" w:hAnsi="宋体" w:eastAsia="宋体" w:cs="宋体"/>
                <w:sz w:val="24"/>
                <w:szCs w:val="24"/>
                <w:bdr w:val="none" w:color="auto" w:sz="0" w:space="0"/>
              </w:rPr>
              <w:t>QQ号码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05" w:hRule="atLeast"/>
        </w:trPr>
        <w:tc>
          <w:tcPr>
            <w:tcW w:w="690" w:type="dxa"/>
            <w:vMerge w:val="restart"/>
            <w:tcBorders>
              <w:top w:val="nil"/>
              <w:left w:val="single" w:color="auto" w:sz="6" w:space="0"/>
              <w:bottom w:val="nil"/>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2"/>
                <w:szCs w:val="22"/>
                <w:bdr w:val="none" w:color="auto" w:sz="0" w:space="0"/>
              </w:rPr>
              <w:t>例1</w:t>
            </w:r>
          </w:p>
        </w:tc>
        <w:tc>
          <w:tcPr>
            <w:tcW w:w="930" w:type="dxa"/>
            <w:vMerge w:val="restart"/>
            <w:tcBorders>
              <w:top w:val="nil"/>
              <w:left w:val="nil"/>
              <w:bottom w:val="nil"/>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2"/>
                <w:szCs w:val="22"/>
                <w:bdr w:val="none" w:color="auto" w:sz="0" w:space="0"/>
              </w:rPr>
              <w:t>室内2200</w:t>
            </w:r>
          </w:p>
        </w:tc>
        <w:tc>
          <w:tcPr>
            <w:tcW w:w="765" w:type="dxa"/>
            <w:vMerge w:val="restart"/>
            <w:tcBorders>
              <w:top w:val="nil"/>
              <w:left w:val="nil"/>
              <w:bottom w:val="nil"/>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2"/>
                <w:szCs w:val="22"/>
                <w:bdr w:val="none" w:color="auto" w:sz="0" w:space="0"/>
              </w:rPr>
              <w:t>鹏飞</w:t>
            </w:r>
          </w:p>
        </w:tc>
        <w:tc>
          <w:tcPr>
            <w:tcW w:w="1215" w:type="dxa"/>
            <w:vMerge w:val="restart"/>
            <w:tcBorders>
              <w:top w:val="nil"/>
              <w:left w:val="nil"/>
              <w:bottom w:val="nil"/>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2"/>
                <w:szCs w:val="22"/>
                <w:bdr w:val="none" w:color="auto" w:sz="0" w:space="0"/>
              </w:rPr>
              <w:t>室内2200班一队</w:t>
            </w:r>
          </w:p>
        </w:tc>
        <w:tc>
          <w:tcPr>
            <w:tcW w:w="141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2"/>
                <w:szCs w:val="22"/>
                <w:bdr w:val="none" w:color="auto" w:sz="0" w:space="0"/>
              </w:rPr>
              <w:t>2021620001</w:t>
            </w:r>
          </w:p>
        </w:tc>
        <w:tc>
          <w:tcPr>
            <w:tcW w:w="145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2"/>
                <w:szCs w:val="22"/>
                <w:bdr w:val="none" w:color="auto" w:sz="0" w:space="0"/>
              </w:rPr>
              <w:t>张三</w:t>
            </w:r>
          </w:p>
        </w:tc>
        <w:tc>
          <w:tcPr>
            <w:tcW w:w="177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2"/>
                <w:szCs w:val="22"/>
                <w:bdr w:val="none" w:color="auto" w:sz="0" w:space="0"/>
              </w:rPr>
              <w:t>13877188888</w:t>
            </w:r>
          </w:p>
        </w:tc>
        <w:tc>
          <w:tcPr>
            <w:tcW w:w="15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2"/>
                <w:szCs w:val="22"/>
                <w:bdr w:val="none" w:color="auto" w:sz="0" w:space="0"/>
              </w:rPr>
              <w:t>111111111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05" w:hRule="atLeast"/>
        </w:trPr>
        <w:tc>
          <w:tcPr>
            <w:tcW w:w="690" w:type="dxa"/>
            <w:vMerge w:val="continue"/>
            <w:tcBorders>
              <w:top w:val="nil"/>
              <w:left w:val="single" w:color="auto" w:sz="6" w:space="0"/>
              <w:bottom w:val="nil"/>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930" w:type="dxa"/>
            <w:vMerge w:val="continue"/>
            <w:tcBorders>
              <w:top w:val="nil"/>
              <w:left w:val="nil"/>
              <w:bottom w:val="nil"/>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765" w:type="dxa"/>
            <w:vMerge w:val="continue"/>
            <w:tcBorders>
              <w:top w:val="nil"/>
              <w:left w:val="nil"/>
              <w:bottom w:val="nil"/>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215" w:type="dxa"/>
            <w:vMerge w:val="continue"/>
            <w:tcBorders>
              <w:top w:val="nil"/>
              <w:left w:val="nil"/>
              <w:bottom w:val="nil"/>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410" w:type="dxa"/>
            <w:tcBorders>
              <w:top w:val="nil"/>
              <w:left w:val="nil"/>
              <w:bottom w:val="single" w:color="auto" w:sz="6" w:space="0"/>
              <w:right w:val="single" w:color="auto" w:sz="6" w:space="0"/>
            </w:tcBorders>
            <w:shd w:val="clear"/>
            <w:tcMar>
              <w:top w:w="0" w:type="dxa"/>
              <w:left w:w="105" w:type="dxa"/>
              <w:bottom w:w="0" w:type="dxa"/>
              <w:right w:w="105" w:type="dxa"/>
            </w:tcMar>
            <w:vAlign w:val="bottom"/>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2"/>
                <w:szCs w:val="22"/>
                <w:bdr w:val="none" w:color="auto" w:sz="0" w:space="0"/>
              </w:rPr>
              <w:t>2021620002</w:t>
            </w:r>
          </w:p>
        </w:tc>
        <w:tc>
          <w:tcPr>
            <w:tcW w:w="1455" w:type="dxa"/>
            <w:tcBorders>
              <w:top w:val="nil"/>
              <w:left w:val="nil"/>
              <w:bottom w:val="single" w:color="auto" w:sz="6" w:space="0"/>
              <w:right w:val="single" w:color="auto" w:sz="6" w:space="0"/>
            </w:tcBorders>
            <w:shd w:val="clear"/>
            <w:tcMar>
              <w:top w:w="0" w:type="dxa"/>
              <w:left w:w="105" w:type="dxa"/>
              <w:bottom w:w="0"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2"/>
                <w:szCs w:val="22"/>
                <w:bdr w:val="none" w:color="auto" w:sz="0" w:space="0"/>
              </w:rPr>
              <w:t>王五</w:t>
            </w:r>
          </w:p>
        </w:tc>
        <w:tc>
          <w:tcPr>
            <w:tcW w:w="1770" w:type="dxa"/>
            <w:tcBorders>
              <w:top w:val="nil"/>
              <w:left w:val="nil"/>
              <w:bottom w:val="single" w:color="auto" w:sz="6" w:space="0"/>
              <w:right w:val="single" w:color="auto" w:sz="6" w:space="0"/>
            </w:tcBorders>
            <w:shd w:val="clear"/>
            <w:tcMar>
              <w:top w:w="0" w:type="dxa"/>
              <w:left w:w="105" w:type="dxa"/>
              <w:bottom w:w="0" w:type="dxa"/>
              <w:right w:w="105" w:type="dxa"/>
            </w:tcMar>
            <w:vAlign w:val="bottom"/>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2"/>
                <w:szCs w:val="22"/>
                <w:bdr w:val="none" w:color="auto" w:sz="0" w:space="0"/>
              </w:rPr>
              <w:t>13877166999</w:t>
            </w:r>
          </w:p>
        </w:tc>
        <w:tc>
          <w:tcPr>
            <w:tcW w:w="1530" w:type="dxa"/>
            <w:tcBorders>
              <w:top w:val="nil"/>
              <w:left w:val="nil"/>
              <w:bottom w:val="single" w:color="auto" w:sz="6" w:space="0"/>
              <w:right w:val="single" w:color="auto" w:sz="6" w:space="0"/>
            </w:tcBorders>
            <w:shd w:val="clear"/>
            <w:tcMar>
              <w:top w:w="0" w:type="dxa"/>
              <w:left w:w="105" w:type="dxa"/>
              <w:bottom w:w="0" w:type="dxa"/>
              <w:right w:w="105" w:type="dxa"/>
            </w:tcMar>
            <w:vAlign w:val="bottom"/>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2"/>
                <w:szCs w:val="22"/>
                <w:bdr w:val="none" w:color="auto" w:sz="0" w:space="0"/>
              </w:rPr>
              <w:t>333333333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05" w:hRule="atLeast"/>
        </w:trPr>
        <w:tc>
          <w:tcPr>
            <w:tcW w:w="690"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2"/>
                <w:szCs w:val="22"/>
                <w:bdr w:val="none" w:color="auto" w:sz="0" w:space="0"/>
              </w:rPr>
              <w:t>1</w:t>
            </w:r>
          </w:p>
        </w:tc>
        <w:tc>
          <w:tcPr>
            <w:tcW w:w="93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765"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1215"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141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145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177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15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05" w:hRule="atLeast"/>
        </w:trPr>
        <w:tc>
          <w:tcPr>
            <w:tcW w:w="69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93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76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21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410" w:type="dxa"/>
            <w:tcBorders>
              <w:top w:val="nil"/>
              <w:left w:val="nil"/>
              <w:bottom w:val="single" w:color="auto" w:sz="6" w:space="0"/>
              <w:right w:val="single" w:color="auto" w:sz="6" w:space="0"/>
            </w:tcBorders>
            <w:shd w:val="clear"/>
            <w:tcMar>
              <w:top w:w="0" w:type="dxa"/>
              <w:left w:w="105" w:type="dxa"/>
              <w:bottom w:w="0" w:type="dxa"/>
              <w:right w:w="105" w:type="dxa"/>
            </w:tcMar>
            <w:vAlign w:val="bottom"/>
          </w:tcPr>
          <w:p>
            <w:pPr>
              <w:keepNext w:val="0"/>
              <w:keepLines w:val="0"/>
              <w:widowControl/>
              <w:suppressLineNumbers w:val="0"/>
              <w:jc w:val="left"/>
            </w:pPr>
          </w:p>
        </w:tc>
        <w:tc>
          <w:tcPr>
            <w:tcW w:w="1455" w:type="dxa"/>
            <w:tcBorders>
              <w:top w:val="nil"/>
              <w:left w:val="nil"/>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pPr>
          </w:p>
        </w:tc>
        <w:tc>
          <w:tcPr>
            <w:tcW w:w="1770" w:type="dxa"/>
            <w:tcBorders>
              <w:top w:val="nil"/>
              <w:left w:val="nil"/>
              <w:bottom w:val="single" w:color="auto" w:sz="6" w:space="0"/>
              <w:right w:val="single" w:color="auto" w:sz="6" w:space="0"/>
            </w:tcBorders>
            <w:shd w:val="clear"/>
            <w:tcMar>
              <w:top w:w="0" w:type="dxa"/>
              <w:left w:w="105" w:type="dxa"/>
              <w:bottom w:w="0" w:type="dxa"/>
              <w:right w:w="105" w:type="dxa"/>
            </w:tcMar>
            <w:vAlign w:val="bottom"/>
          </w:tcPr>
          <w:p>
            <w:pPr>
              <w:keepNext w:val="0"/>
              <w:keepLines w:val="0"/>
              <w:widowControl/>
              <w:suppressLineNumbers w:val="0"/>
              <w:jc w:val="left"/>
            </w:pPr>
          </w:p>
        </w:tc>
        <w:tc>
          <w:tcPr>
            <w:tcW w:w="1530" w:type="dxa"/>
            <w:tcBorders>
              <w:top w:val="nil"/>
              <w:left w:val="nil"/>
              <w:bottom w:val="single" w:color="auto" w:sz="6" w:space="0"/>
              <w:right w:val="single" w:color="auto" w:sz="6" w:space="0"/>
            </w:tcBorders>
            <w:shd w:val="clear"/>
            <w:tcMar>
              <w:top w:w="0" w:type="dxa"/>
              <w:left w:w="105" w:type="dxa"/>
              <w:bottom w:w="0" w:type="dxa"/>
              <w:right w:w="105" w:type="dxa"/>
            </w:tcMar>
            <w:vAlign w:val="bottom"/>
          </w:tcPr>
          <w:p>
            <w:pPr>
              <w:keepNext w:val="0"/>
              <w:keepLines w:val="0"/>
              <w:widowControl/>
              <w:suppressLineNumbers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690"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2"/>
                <w:szCs w:val="22"/>
                <w:bdr w:val="none" w:color="auto" w:sz="0" w:space="0"/>
              </w:rPr>
              <w:t>2</w:t>
            </w:r>
          </w:p>
        </w:tc>
        <w:tc>
          <w:tcPr>
            <w:tcW w:w="93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765"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1215"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141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145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177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15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05" w:hRule="atLeast"/>
        </w:trPr>
        <w:tc>
          <w:tcPr>
            <w:tcW w:w="69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93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76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21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410" w:type="dxa"/>
            <w:tcBorders>
              <w:top w:val="nil"/>
              <w:left w:val="nil"/>
              <w:bottom w:val="single" w:color="auto" w:sz="6" w:space="0"/>
              <w:right w:val="single" w:color="auto" w:sz="6" w:space="0"/>
            </w:tcBorders>
            <w:shd w:val="clear"/>
            <w:tcMar>
              <w:top w:w="0" w:type="dxa"/>
              <w:left w:w="105" w:type="dxa"/>
              <w:bottom w:w="0" w:type="dxa"/>
              <w:right w:w="105" w:type="dxa"/>
            </w:tcMar>
            <w:vAlign w:val="bottom"/>
          </w:tcPr>
          <w:p>
            <w:pPr>
              <w:keepNext w:val="0"/>
              <w:keepLines w:val="0"/>
              <w:widowControl/>
              <w:suppressLineNumbers w:val="0"/>
              <w:jc w:val="left"/>
            </w:pPr>
          </w:p>
        </w:tc>
        <w:tc>
          <w:tcPr>
            <w:tcW w:w="1455" w:type="dxa"/>
            <w:tcBorders>
              <w:top w:val="nil"/>
              <w:left w:val="nil"/>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pPr>
          </w:p>
        </w:tc>
        <w:tc>
          <w:tcPr>
            <w:tcW w:w="1770" w:type="dxa"/>
            <w:tcBorders>
              <w:top w:val="nil"/>
              <w:left w:val="nil"/>
              <w:bottom w:val="single" w:color="auto" w:sz="6" w:space="0"/>
              <w:right w:val="single" w:color="auto" w:sz="6" w:space="0"/>
            </w:tcBorders>
            <w:shd w:val="clear"/>
            <w:tcMar>
              <w:top w:w="0" w:type="dxa"/>
              <w:left w:w="105" w:type="dxa"/>
              <w:bottom w:w="0" w:type="dxa"/>
              <w:right w:w="105" w:type="dxa"/>
            </w:tcMar>
            <w:vAlign w:val="bottom"/>
          </w:tcPr>
          <w:p>
            <w:pPr>
              <w:keepNext w:val="0"/>
              <w:keepLines w:val="0"/>
              <w:widowControl/>
              <w:suppressLineNumbers w:val="0"/>
              <w:jc w:val="left"/>
            </w:pPr>
          </w:p>
        </w:tc>
        <w:tc>
          <w:tcPr>
            <w:tcW w:w="1530" w:type="dxa"/>
            <w:tcBorders>
              <w:top w:val="nil"/>
              <w:left w:val="nil"/>
              <w:bottom w:val="single" w:color="auto" w:sz="6" w:space="0"/>
              <w:right w:val="single" w:color="auto" w:sz="6" w:space="0"/>
            </w:tcBorders>
            <w:shd w:val="clear"/>
            <w:tcMar>
              <w:top w:w="0" w:type="dxa"/>
              <w:left w:w="105" w:type="dxa"/>
              <w:bottom w:w="0" w:type="dxa"/>
              <w:right w:w="105" w:type="dxa"/>
            </w:tcMar>
            <w:vAlign w:val="bottom"/>
          </w:tcPr>
          <w:p>
            <w:pPr>
              <w:keepNext w:val="0"/>
              <w:keepLines w:val="0"/>
              <w:widowControl/>
              <w:suppressLineNumbers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05" w:hRule="atLeast"/>
        </w:trPr>
        <w:tc>
          <w:tcPr>
            <w:tcW w:w="690"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2"/>
                <w:szCs w:val="22"/>
                <w:bdr w:val="none" w:color="auto" w:sz="0" w:space="0"/>
              </w:rPr>
              <w:t>3</w:t>
            </w:r>
          </w:p>
        </w:tc>
        <w:tc>
          <w:tcPr>
            <w:tcW w:w="93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765"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1215"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141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145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177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15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69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93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76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21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410" w:type="dxa"/>
            <w:tcBorders>
              <w:top w:val="nil"/>
              <w:left w:val="nil"/>
              <w:bottom w:val="single" w:color="auto" w:sz="6" w:space="0"/>
              <w:right w:val="single" w:color="auto" w:sz="6" w:space="0"/>
            </w:tcBorders>
            <w:shd w:val="clear"/>
            <w:tcMar>
              <w:top w:w="0" w:type="dxa"/>
              <w:left w:w="105" w:type="dxa"/>
              <w:bottom w:w="0" w:type="dxa"/>
              <w:right w:w="105" w:type="dxa"/>
            </w:tcMar>
            <w:vAlign w:val="bottom"/>
          </w:tcPr>
          <w:p>
            <w:pPr>
              <w:keepNext w:val="0"/>
              <w:keepLines w:val="0"/>
              <w:widowControl/>
              <w:suppressLineNumbers w:val="0"/>
              <w:jc w:val="left"/>
            </w:pPr>
          </w:p>
        </w:tc>
        <w:tc>
          <w:tcPr>
            <w:tcW w:w="1455" w:type="dxa"/>
            <w:tcBorders>
              <w:top w:val="nil"/>
              <w:left w:val="nil"/>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pPr>
          </w:p>
        </w:tc>
        <w:tc>
          <w:tcPr>
            <w:tcW w:w="1770" w:type="dxa"/>
            <w:tcBorders>
              <w:top w:val="nil"/>
              <w:left w:val="nil"/>
              <w:bottom w:val="single" w:color="auto" w:sz="6" w:space="0"/>
              <w:right w:val="single" w:color="auto" w:sz="6" w:space="0"/>
            </w:tcBorders>
            <w:shd w:val="clear"/>
            <w:tcMar>
              <w:top w:w="0" w:type="dxa"/>
              <w:left w:w="105" w:type="dxa"/>
              <w:bottom w:w="0" w:type="dxa"/>
              <w:right w:w="105" w:type="dxa"/>
            </w:tcMar>
            <w:vAlign w:val="bottom"/>
          </w:tcPr>
          <w:p>
            <w:pPr>
              <w:keepNext w:val="0"/>
              <w:keepLines w:val="0"/>
              <w:widowControl/>
              <w:suppressLineNumbers w:val="0"/>
              <w:jc w:val="left"/>
            </w:pPr>
          </w:p>
        </w:tc>
        <w:tc>
          <w:tcPr>
            <w:tcW w:w="1530" w:type="dxa"/>
            <w:tcBorders>
              <w:top w:val="nil"/>
              <w:left w:val="nil"/>
              <w:bottom w:val="single" w:color="auto" w:sz="6" w:space="0"/>
              <w:right w:val="single" w:color="auto" w:sz="6" w:space="0"/>
            </w:tcBorders>
            <w:shd w:val="clear"/>
            <w:tcMar>
              <w:top w:w="0" w:type="dxa"/>
              <w:left w:w="105" w:type="dxa"/>
              <w:bottom w:w="0" w:type="dxa"/>
              <w:right w:w="105" w:type="dxa"/>
            </w:tcMar>
            <w:vAlign w:val="bottom"/>
          </w:tcPr>
          <w:p>
            <w:pPr>
              <w:keepNext w:val="0"/>
              <w:keepLines w:val="0"/>
              <w:widowControl/>
              <w:suppressLineNumbers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05" w:hRule="atLeast"/>
        </w:trPr>
        <w:tc>
          <w:tcPr>
            <w:tcW w:w="690"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2"/>
                <w:szCs w:val="22"/>
                <w:bdr w:val="none" w:color="auto" w:sz="0" w:space="0"/>
              </w:rPr>
              <w:t>4</w:t>
            </w:r>
          </w:p>
        </w:tc>
        <w:tc>
          <w:tcPr>
            <w:tcW w:w="93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765"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1215"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141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145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177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15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05" w:hRule="atLeast"/>
        </w:trPr>
        <w:tc>
          <w:tcPr>
            <w:tcW w:w="69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93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76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21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410" w:type="dxa"/>
            <w:tcBorders>
              <w:top w:val="nil"/>
              <w:left w:val="nil"/>
              <w:bottom w:val="single" w:color="auto" w:sz="6" w:space="0"/>
              <w:right w:val="single" w:color="auto" w:sz="6" w:space="0"/>
            </w:tcBorders>
            <w:shd w:val="clear"/>
            <w:tcMar>
              <w:top w:w="0" w:type="dxa"/>
              <w:left w:w="105" w:type="dxa"/>
              <w:bottom w:w="0" w:type="dxa"/>
              <w:right w:w="105" w:type="dxa"/>
            </w:tcMar>
            <w:vAlign w:val="bottom"/>
          </w:tcPr>
          <w:p>
            <w:pPr>
              <w:keepNext w:val="0"/>
              <w:keepLines w:val="0"/>
              <w:widowControl/>
              <w:suppressLineNumbers w:val="0"/>
              <w:jc w:val="left"/>
            </w:pPr>
          </w:p>
        </w:tc>
        <w:tc>
          <w:tcPr>
            <w:tcW w:w="1455" w:type="dxa"/>
            <w:tcBorders>
              <w:top w:val="nil"/>
              <w:left w:val="nil"/>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pPr>
          </w:p>
        </w:tc>
        <w:tc>
          <w:tcPr>
            <w:tcW w:w="1770" w:type="dxa"/>
            <w:tcBorders>
              <w:top w:val="nil"/>
              <w:left w:val="nil"/>
              <w:bottom w:val="single" w:color="auto" w:sz="6" w:space="0"/>
              <w:right w:val="single" w:color="auto" w:sz="6" w:space="0"/>
            </w:tcBorders>
            <w:shd w:val="clear"/>
            <w:tcMar>
              <w:top w:w="0" w:type="dxa"/>
              <w:left w:w="105" w:type="dxa"/>
              <w:bottom w:w="0" w:type="dxa"/>
              <w:right w:w="105" w:type="dxa"/>
            </w:tcMar>
            <w:vAlign w:val="bottom"/>
          </w:tcPr>
          <w:p>
            <w:pPr>
              <w:keepNext w:val="0"/>
              <w:keepLines w:val="0"/>
              <w:widowControl/>
              <w:suppressLineNumbers w:val="0"/>
              <w:jc w:val="left"/>
            </w:pPr>
          </w:p>
        </w:tc>
        <w:tc>
          <w:tcPr>
            <w:tcW w:w="1530" w:type="dxa"/>
            <w:tcBorders>
              <w:top w:val="nil"/>
              <w:left w:val="nil"/>
              <w:bottom w:val="single" w:color="auto" w:sz="6" w:space="0"/>
              <w:right w:val="single" w:color="auto" w:sz="6" w:space="0"/>
            </w:tcBorders>
            <w:shd w:val="clear"/>
            <w:tcMar>
              <w:top w:w="0" w:type="dxa"/>
              <w:left w:w="105" w:type="dxa"/>
              <w:bottom w:w="0" w:type="dxa"/>
              <w:right w:w="105" w:type="dxa"/>
            </w:tcMar>
            <w:vAlign w:val="bottom"/>
          </w:tcPr>
          <w:p>
            <w:pPr>
              <w:keepNext w:val="0"/>
              <w:keepLines w:val="0"/>
              <w:widowControl/>
              <w:suppressLineNumbers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690"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2"/>
                <w:szCs w:val="22"/>
                <w:bdr w:val="none" w:color="auto" w:sz="0" w:space="0"/>
              </w:rPr>
              <w:t>5</w:t>
            </w:r>
          </w:p>
        </w:tc>
        <w:tc>
          <w:tcPr>
            <w:tcW w:w="93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765"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1215"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141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145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177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15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05" w:hRule="atLeast"/>
        </w:trPr>
        <w:tc>
          <w:tcPr>
            <w:tcW w:w="69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93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76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21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410" w:type="dxa"/>
            <w:tcBorders>
              <w:top w:val="nil"/>
              <w:left w:val="nil"/>
              <w:bottom w:val="single" w:color="auto" w:sz="6" w:space="0"/>
              <w:right w:val="single" w:color="auto" w:sz="6" w:space="0"/>
            </w:tcBorders>
            <w:shd w:val="clear"/>
            <w:tcMar>
              <w:top w:w="0" w:type="dxa"/>
              <w:left w:w="105" w:type="dxa"/>
              <w:bottom w:w="0" w:type="dxa"/>
              <w:right w:w="105" w:type="dxa"/>
            </w:tcMar>
            <w:vAlign w:val="bottom"/>
          </w:tcPr>
          <w:p>
            <w:pPr>
              <w:keepNext w:val="0"/>
              <w:keepLines w:val="0"/>
              <w:widowControl/>
              <w:suppressLineNumbers w:val="0"/>
              <w:jc w:val="left"/>
            </w:pPr>
          </w:p>
        </w:tc>
        <w:tc>
          <w:tcPr>
            <w:tcW w:w="1455" w:type="dxa"/>
            <w:tcBorders>
              <w:top w:val="nil"/>
              <w:left w:val="nil"/>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pPr>
          </w:p>
        </w:tc>
        <w:tc>
          <w:tcPr>
            <w:tcW w:w="1770" w:type="dxa"/>
            <w:tcBorders>
              <w:top w:val="nil"/>
              <w:left w:val="nil"/>
              <w:bottom w:val="single" w:color="auto" w:sz="6" w:space="0"/>
              <w:right w:val="single" w:color="auto" w:sz="6" w:space="0"/>
            </w:tcBorders>
            <w:shd w:val="clear"/>
            <w:tcMar>
              <w:top w:w="0" w:type="dxa"/>
              <w:left w:w="105" w:type="dxa"/>
              <w:bottom w:w="0" w:type="dxa"/>
              <w:right w:w="105" w:type="dxa"/>
            </w:tcMar>
            <w:vAlign w:val="bottom"/>
          </w:tcPr>
          <w:p>
            <w:pPr>
              <w:keepNext w:val="0"/>
              <w:keepLines w:val="0"/>
              <w:widowControl/>
              <w:suppressLineNumbers w:val="0"/>
              <w:jc w:val="left"/>
            </w:pPr>
          </w:p>
        </w:tc>
        <w:tc>
          <w:tcPr>
            <w:tcW w:w="1530" w:type="dxa"/>
            <w:tcBorders>
              <w:top w:val="nil"/>
              <w:left w:val="nil"/>
              <w:bottom w:val="single" w:color="auto" w:sz="6" w:space="0"/>
              <w:right w:val="single" w:color="auto" w:sz="6" w:space="0"/>
            </w:tcBorders>
            <w:shd w:val="clear"/>
            <w:tcMar>
              <w:top w:w="0" w:type="dxa"/>
              <w:left w:w="105" w:type="dxa"/>
              <w:bottom w:w="0" w:type="dxa"/>
              <w:right w:w="105" w:type="dxa"/>
            </w:tcMar>
            <w:vAlign w:val="bottom"/>
          </w:tcPr>
          <w:p>
            <w:pPr>
              <w:keepNext w:val="0"/>
              <w:keepLines w:val="0"/>
              <w:widowControl/>
              <w:suppressLineNumbers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690"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2"/>
                <w:szCs w:val="22"/>
                <w:bdr w:val="none" w:color="auto" w:sz="0" w:space="0"/>
              </w:rPr>
              <w:t>6</w:t>
            </w:r>
          </w:p>
        </w:tc>
        <w:tc>
          <w:tcPr>
            <w:tcW w:w="93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765"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1215"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141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145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177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15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69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93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76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21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410" w:type="dxa"/>
            <w:tcBorders>
              <w:top w:val="nil"/>
              <w:left w:val="nil"/>
              <w:bottom w:val="single" w:color="auto" w:sz="6" w:space="0"/>
              <w:right w:val="single" w:color="auto" w:sz="6" w:space="0"/>
            </w:tcBorders>
            <w:shd w:val="clear"/>
            <w:tcMar>
              <w:top w:w="0" w:type="dxa"/>
              <w:left w:w="105" w:type="dxa"/>
              <w:bottom w:w="0" w:type="dxa"/>
              <w:right w:w="105" w:type="dxa"/>
            </w:tcMar>
            <w:vAlign w:val="bottom"/>
          </w:tcPr>
          <w:p>
            <w:pPr>
              <w:keepNext w:val="0"/>
              <w:keepLines w:val="0"/>
              <w:widowControl/>
              <w:suppressLineNumbers w:val="0"/>
              <w:jc w:val="left"/>
            </w:pPr>
          </w:p>
        </w:tc>
        <w:tc>
          <w:tcPr>
            <w:tcW w:w="1455" w:type="dxa"/>
            <w:tcBorders>
              <w:top w:val="nil"/>
              <w:left w:val="nil"/>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pPr>
          </w:p>
        </w:tc>
        <w:tc>
          <w:tcPr>
            <w:tcW w:w="1770" w:type="dxa"/>
            <w:tcBorders>
              <w:top w:val="nil"/>
              <w:left w:val="nil"/>
              <w:bottom w:val="single" w:color="auto" w:sz="6" w:space="0"/>
              <w:right w:val="single" w:color="auto" w:sz="6" w:space="0"/>
            </w:tcBorders>
            <w:shd w:val="clear"/>
            <w:tcMar>
              <w:top w:w="0" w:type="dxa"/>
              <w:left w:w="105" w:type="dxa"/>
              <w:bottom w:w="0" w:type="dxa"/>
              <w:right w:w="105" w:type="dxa"/>
            </w:tcMar>
            <w:vAlign w:val="bottom"/>
          </w:tcPr>
          <w:p>
            <w:pPr>
              <w:keepNext w:val="0"/>
              <w:keepLines w:val="0"/>
              <w:widowControl/>
              <w:suppressLineNumbers w:val="0"/>
              <w:jc w:val="left"/>
            </w:pPr>
          </w:p>
        </w:tc>
        <w:tc>
          <w:tcPr>
            <w:tcW w:w="1530" w:type="dxa"/>
            <w:tcBorders>
              <w:top w:val="nil"/>
              <w:left w:val="nil"/>
              <w:bottom w:val="single" w:color="auto" w:sz="6" w:space="0"/>
              <w:right w:val="single" w:color="auto" w:sz="6" w:space="0"/>
            </w:tcBorders>
            <w:shd w:val="clear"/>
            <w:tcMar>
              <w:top w:w="0" w:type="dxa"/>
              <w:left w:w="105" w:type="dxa"/>
              <w:bottom w:w="0" w:type="dxa"/>
              <w:right w:w="105" w:type="dxa"/>
            </w:tcMar>
            <w:vAlign w:val="bottom"/>
          </w:tcPr>
          <w:p>
            <w:pPr>
              <w:keepNext w:val="0"/>
              <w:keepLines w:val="0"/>
              <w:widowControl/>
              <w:suppressLineNumbers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05" w:hRule="atLeast"/>
        </w:trPr>
        <w:tc>
          <w:tcPr>
            <w:tcW w:w="690"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2"/>
                <w:szCs w:val="22"/>
                <w:bdr w:val="none" w:color="auto" w:sz="0" w:space="0"/>
              </w:rPr>
              <w:t>7</w:t>
            </w:r>
          </w:p>
        </w:tc>
        <w:tc>
          <w:tcPr>
            <w:tcW w:w="93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765"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1215"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141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145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177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15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05" w:hRule="atLeast"/>
        </w:trPr>
        <w:tc>
          <w:tcPr>
            <w:tcW w:w="69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93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76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21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410" w:type="dxa"/>
            <w:tcBorders>
              <w:top w:val="nil"/>
              <w:left w:val="nil"/>
              <w:bottom w:val="single" w:color="auto" w:sz="6" w:space="0"/>
              <w:right w:val="single" w:color="auto" w:sz="6" w:space="0"/>
            </w:tcBorders>
            <w:shd w:val="clear"/>
            <w:tcMar>
              <w:top w:w="0" w:type="dxa"/>
              <w:left w:w="105" w:type="dxa"/>
              <w:bottom w:w="0" w:type="dxa"/>
              <w:right w:w="105" w:type="dxa"/>
            </w:tcMar>
            <w:vAlign w:val="bottom"/>
          </w:tcPr>
          <w:p>
            <w:pPr>
              <w:keepNext w:val="0"/>
              <w:keepLines w:val="0"/>
              <w:widowControl/>
              <w:suppressLineNumbers w:val="0"/>
              <w:jc w:val="left"/>
            </w:pPr>
          </w:p>
        </w:tc>
        <w:tc>
          <w:tcPr>
            <w:tcW w:w="1455" w:type="dxa"/>
            <w:tcBorders>
              <w:top w:val="nil"/>
              <w:left w:val="nil"/>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pPr>
          </w:p>
        </w:tc>
        <w:tc>
          <w:tcPr>
            <w:tcW w:w="1770" w:type="dxa"/>
            <w:tcBorders>
              <w:top w:val="nil"/>
              <w:left w:val="nil"/>
              <w:bottom w:val="single" w:color="auto" w:sz="6" w:space="0"/>
              <w:right w:val="single" w:color="auto" w:sz="6" w:space="0"/>
            </w:tcBorders>
            <w:shd w:val="clear"/>
            <w:tcMar>
              <w:top w:w="0" w:type="dxa"/>
              <w:left w:w="105" w:type="dxa"/>
              <w:bottom w:w="0" w:type="dxa"/>
              <w:right w:w="105" w:type="dxa"/>
            </w:tcMar>
            <w:vAlign w:val="bottom"/>
          </w:tcPr>
          <w:p>
            <w:pPr>
              <w:keepNext w:val="0"/>
              <w:keepLines w:val="0"/>
              <w:widowControl/>
              <w:suppressLineNumbers w:val="0"/>
              <w:jc w:val="left"/>
            </w:pPr>
          </w:p>
        </w:tc>
        <w:tc>
          <w:tcPr>
            <w:tcW w:w="1530" w:type="dxa"/>
            <w:tcBorders>
              <w:top w:val="nil"/>
              <w:left w:val="nil"/>
              <w:bottom w:val="single" w:color="auto" w:sz="6" w:space="0"/>
              <w:right w:val="single" w:color="auto" w:sz="6" w:space="0"/>
            </w:tcBorders>
            <w:shd w:val="clear"/>
            <w:tcMar>
              <w:top w:w="0" w:type="dxa"/>
              <w:left w:w="105" w:type="dxa"/>
              <w:bottom w:w="0" w:type="dxa"/>
              <w:right w:w="105" w:type="dxa"/>
            </w:tcMar>
            <w:vAlign w:val="bottom"/>
          </w:tcPr>
          <w:p>
            <w:pPr>
              <w:keepNext w:val="0"/>
              <w:keepLines w:val="0"/>
              <w:widowControl/>
              <w:suppressLineNumbers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05" w:hRule="atLeast"/>
        </w:trPr>
        <w:tc>
          <w:tcPr>
            <w:tcW w:w="690"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2"/>
                <w:szCs w:val="22"/>
                <w:bdr w:val="none" w:color="auto" w:sz="0" w:space="0"/>
              </w:rPr>
              <w:t>8</w:t>
            </w:r>
          </w:p>
        </w:tc>
        <w:tc>
          <w:tcPr>
            <w:tcW w:w="93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765"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1215"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141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145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177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15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05" w:hRule="atLeast"/>
        </w:trPr>
        <w:tc>
          <w:tcPr>
            <w:tcW w:w="69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93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76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21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410" w:type="dxa"/>
            <w:tcBorders>
              <w:top w:val="nil"/>
              <w:left w:val="nil"/>
              <w:bottom w:val="single" w:color="auto" w:sz="6" w:space="0"/>
              <w:right w:val="single" w:color="auto" w:sz="6" w:space="0"/>
            </w:tcBorders>
            <w:shd w:val="clear"/>
            <w:tcMar>
              <w:top w:w="0" w:type="dxa"/>
              <w:left w:w="105" w:type="dxa"/>
              <w:bottom w:w="0" w:type="dxa"/>
              <w:right w:w="105" w:type="dxa"/>
            </w:tcMar>
            <w:vAlign w:val="bottom"/>
          </w:tcPr>
          <w:p>
            <w:pPr>
              <w:keepNext w:val="0"/>
              <w:keepLines w:val="0"/>
              <w:widowControl/>
              <w:suppressLineNumbers w:val="0"/>
              <w:jc w:val="left"/>
            </w:pPr>
          </w:p>
        </w:tc>
        <w:tc>
          <w:tcPr>
            <w:tcW w:w="1455" w:type="dxa"/>
            <w:tcBorders>
              <w:top w:val="nil"/>
              <w:left w:val="nil"/>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pPr>
          </w:p>
        </w:tc>
        <w:tc>
          <w:tcPr>
            <w:tcW w:w="1770" w:type="dxa"/>
            <w:tcBorders>
              <w:top w:val="nil"/>
              <w:left w:val="nil"/>
              <w:bottom w:val="single" w:color="auto" w:sz="6" w:space="0"/>
              <w:right w:val="single" w:color="auto" w:sz="6" w:space="0"/>
            </w:tcBorders>
            <w:shd w:val="clear"/>
            <w:tcMar>
              <w:top w:w="0" w:type="dxa"/>
              <w:left w:w="105" w:type="dxa"/>
              <w:bottom w:w="0" w:type="dxa"/>
              <w:right w:w="105" w:type="dxa"/>
            </w:tcMar>
            <w:vAlign w:val="bottom"/>
          </w:tcPr>
          <w:p>
            <w:pPr>
              <w:keepNext w:val="0"/>
              <w:keepLines w:val="0"/>
              <w:widowControl/>
              <w:suppressLineNumbers w:val="0"/>
              <w:jc w:val="left"/>
            </w:pPr>
          </w:p>
        </w:tc>
        <w:tc>
          <w:tcPr>
            <w:tcW w:w="1530" w:type="dxa"/>
            <w:tcBorders>
              <w:top w:val="nil"/>
              <w:left w:val="nil"/>
              <w:bottom w:val="single" w:color="auto" w:sz="6" w:space="0"/>
              <w:right w:val="single" w:color="auto" w:sz="6" w:space="0"/>
            </w:tcBorders>
            <w:shd w:val="clear"/>
            <w:tcMar>
              <w:top w:w="0" w:type="dxa"/>
              <w:left w:w="105" w:type="dxa"/>
              <w:bottom w:w="0" w:type="dxa"/>
              <w:right w:w="105" w:type="dxa"/>
            </w:tcMar>
            <w:vAlign w:val="bottom"/>
          </w:tcPr>
          <w:p>
            <w:pPr>
              <w:keepNext w:val="0"/>
              <w:keepLines w:val="0"/>
              <w:widowControl/>
              <w:suppressLineNumbers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05" w:hRule="atLeast"/>
        </w:trPr>
        <w:tc>
          <w:tcPr>
            <w:tcW w:w="690"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2"/>
                <w:szCs w:val="22"/>
                <w:bdr w:val="none" w:color="auto" w:sz="0" w:space="0"/>
              </w:rPr>
              <w:t>9</w:t>
            </w:r>
          </w:p>
        </w:tc>
        <w:tc>
          <w:tcPr>
            <w:tcW w:w="93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765"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1215"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141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145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177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15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05" w:hRule="atLeast"/>
        </w:trPr>
        <w:tc>
          <w:tcPr>
            <w:tcW w:w="69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93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76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21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1410" w:type="dxa"/>
            <w:tcBorders>
              <w:top w:val="nil"/>
              <w:left w:val="nil"/>
              <w:bottom w:val="single" w:color="auto" w:sz="6" w:space="0"/>
              <w:right w:val="single" w:color="auto" w:sz="6" w:space="0"/>
            </w:tcBorders>
            <w:shd w:val="clear"/>
            <w:tcMar>
              <w:top w:w="0" w:type="dxa"/>
              <w:left w:w="105" w:type="dxa"/>
              <w:bottom w:w="0" w:type="dxa"/>
              <w:right w:w="105" w:type="dxa"/>
            </w:tcMar>
            <w:vAlign w:val="bottom"/>
          </w:tcPr>
          <w:p>
            <w:pPr>
              <w:keepNext w:val="0"/>
              <w:keepLines w:val="0"/>
              <w:widowControl/>
              <w:suppressLineNumbers w:val="0"/>
              <w:jc w:val="left"/>
            </w:pPr>
          </w:p>
        </w:tc>
        <w:tc>
          <w:tcPr>
            <w:tcW w:w="1455" w:type="dxa"/>
            <w:tcBorders>
              <w:top w:val="nil"/>
              <w:left w:val="nil"/>
              <w:bottom w:val="single" w:color="auto" w:sz="6" w:space="0"/>
              <w:right w:val="single" w:color="auto" w:sz="6" w:space="0"/>
            </w:tcBorders>
            <w:shd w:val="clear"/>
            <w:tcMar>
              <w:top w:w="0" w:type="dxa"/>
              <w:left w:w="105" w:type="dxa"/>
              <w:bottom w:w="0" w:type="dxa"/>
              <w:right w:w="105" w:type="dxa"/>
            </w:tcMar>
            <w:vAlign w:val="top"/>
          </w:tcPr>
          <w:p>
            <w:pPr>
              <w:keepNext w:val="0"/>
              <w:keepLines w:val="0"/>
              <w:widowControl/>
              <w:suppressLineNumbers w:val="0"/>
              <w:jc w:val="left"/>
            </w:pPr>
          </w:p>
        </w:tc>
        <w:tc>
          <w:tcPr>
            <w:tcW w:w="1770" w:type="dxa"/>
            <w:tcBorders>
              <w:top w:val="nil"/>
              <w:left w:val="nil"/>
              <w:bottom w:val="single" w:color="auto" w:sz="6" w:space="0"/>
              <w:right w:val="single" w:color="auto" w:sz="6" w:space="0"/>
            </w:tcBorders>
            <w:shd w:val="clear"/>
            <w:tcMar>
              <w:top w:w="0" w:type="dxa"/>
              <w:left w:w="105" w:type="dxa"/>
              <w:bottom w:w="0" w:type="dxa"/>
              <w:right w:w="105" w:type="dxa"/>
            </w:tcMar>
            <w:vAlign w:val="bottom"/>
          </w:tcPr>
          <w:p>
            <w:pPr>
              <w:keepNext w:val="0"/>
              <w:keepLines w:val="0"/>
              <w:widowControl/>
              <w:suppressLineNumbers w:val="0"/>
              <w:jc w:val="left"/>
            </w:pPr>
          </w:p>
        </w:tc>
        <w:tc>
          <w:tcPr>
            <w:tcW w:w="1530" w:type="dxa"/>
            <w:tcBorders>
              <w:top w:val="nil"/>
              <w:left w:val="nil"/>
              <w:bottom w:val="single" w:color="auto" w:sz="6" w:space="0"/>
              <w:right w:val="single" w:color="auto" w:sz="6" w:space="0"/>
            </w:tcBorders>
            <w:shd w:val="clear"/>
            <w:tcMar>
              <w:top w:w="0" w:type="dxa"/>
              <w:left w:w="105" w:type="dxa"/>
              <w:bottom w:w="0" w:type="dxa"/>
              <w:right w:w="105" w:type="dxa"/>
            </w:tcMar>
            <w:vAlign w:val="bottom"/>
          </w:tcPr>
          <w:p>
            <w:pPr>
              <w:keepNext w:val="0"/>
              <w:keepLines w:val="0"/>
              <w:widowControl/>
              <w:suppressLineNumbers w:val="0"/>
              <w:jc w:val="left"/>
            </w:pPr>
          </w:p>
        </w:tc>
      </w:tr>
    </w:tbl>
    <w:p>
      <w:pPr>
        <w:pStyle w:val="2"/>
        <w:keepNext w:val="0"/>
        <w:keepLines w:val="0"/>
        <w:widowControl/>
        <w:suppressLineNumbers w:val="0"/>
        <w:spacing w:before="75" w:beforeAutospacing="0" w:after="75" w:afterAutospacing="0" w:line="360" w:lineRule="atLeast"/>
        <w:ind w:left="0" w:right="0"/>
      </w:pPr>
      <w:r>
        <w:rPr>
          <w:rFonts w:hint="default" w:ascii="Times New Roman" w:hAnsi="Times New Roman" w:cs="Times New Roman"/>
          <w:sz w:val="24"/>
          <w:szCs w:val="24"/>
        </w:rPr>
        <w:t> </w:t>
      </w:r>
    </w:p>
    <w:p>
      <w:pPr>
        <w:pStyle w:val="2"/>
        <w:keepNext w:val="0"/>
        <w:keepLines w:val="0"/>
        <w:widowControl/>
        <w:suppressLineNumbers w:val="0"/>
        <w:spacing w:before="75" w:beforeAutospacing="0" w:after="75" w:afterAutospacing="0"/>
        <w:ind w:left="0" w:right="0"/>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xMzUzZmU0NTdmYTcxZTFmM2QyMjBkZTAxNDc3YWMifQ=="/>
  </w:docVars>
  <w:rsids>
    <w:rsidRoot w:val="1B665B44"/>
    <w:rsid w:val="1B665B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2023-12-25T03:09:00Z</dcterms:created>
  <dc:creator>CHENPENG8002</dc:creator>
  <cp:lastModifiedBy>CHENPENG8002</cp:lastModifiedBy>
  <dcterms:modified xsi:type="dcterms:W3CDTF">2023-12-25T03:09:39Z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732EAACB07DE45378119A0A6E6EE8B24_11</vt:lpwstr>
  </property>
</Properties>
</file>