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p>
    <w:p>
      <w:pPr>
        <w:pStyle w:val="11"/>
        <w:spacing w:line="1000" w:lineRule="exact"/>
        <w:rPr>
          <w:rFonts w:ascii="黑体" w:hAnsi="宋体" w:eastAsia="黑体"/>
          <w:sz w:val="84"/>
          <w:szCs w:val="84"/>
        </w:rPr>
      </w:pPr>
      <w:r>
        <w:rPr>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5" cstate="print"/>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jc w:val="center"/>
        <w:rPr>
          <w:rFonts w:ascii="黑体" w:hAnsi="宋体" w:eastAsia="黑体"/>
          <w:sz w:val="84"/>
          <w:szCs w:val="84"/>
        </w:rPr>
      </w:pPr>
    </w:p>
    <w:p>
      <w:pPr>
        <w:pStyle w:val="11"/>
        <w:spacing w:line="1000" w:lineRule="exact"/>
        <w:jc w:val="center"/>
        <w:outlineLvl w:val="0"/>
        <w:rPr>
          <w:rFonts w:ascii="黑体" w:hAnsi="宋体" w:eastAsia="黑体"/>
          <w:sz w:val="84"/>
          <w:szCs w:val="84"/>
        </w:rPr>
      </w:pPr>
      <w:bookmarkStart w:id="0" w:name="_Toc23667"/>
      <w:r>
        <w:rPr>
          <w:rFonts w:hint="eastAsia" w:ascii="黑体" w:hAnsi="宋体" w:eastAsia="黑体"/>
          <w:sz w:val="84"/>
          <w:szCs w:val="84"/>
        </w:rPr>
        <w:t>询价通知书</w:t>
      </w:r>
      <w:bookmarkEnd w:id="0"/>
    </w:p>
    <w:p>
      <w:pPr>
        <w:pStyle w:val="11"/>
        <w:spacing w:line="500" w:lineRule="exact"/>
        <w:jc w:val="center"/>
        <w:rPr>
          <w:rFonts w:hAnsi="宋体"/>
        </w:rPr>
      </w:pPr>
    </w:p>
    <w:p>
      <w:pPr>
        <w:pStyle w:val="11"/>
        <w:spacing w:line="500" w:lineRule="exact"/>
        <w:jc w:val="center"/>
        <w:rPr>
          <w:rFonts w:hAnsi="宋体"/>
        </w:rPr>
      </w:pPr>
      <w:r>
        <w:rPr>
          <w:rFonts w:hAnsi="宋体"/>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6"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spacing w:line="900" w:lineRule="exact"/>
        <w:ind w:firstLine="361" w:firstLineChars="100"/>
        <w:rPr>
          <w:rFonts w:ascii="仿宋" w:hAnsi="仿宋" w:eastAsia="仿宋" w:cs="仿宋"/>
          <w:color w:val="000000" w:themeColor="text1"/>
          <w:kern w:val="0"/>
          <w:sz w:val="36"/>
          <w:szCs w:val="36"/>
          <w:u w:val="single"/>
          <w14:textFill>
            <w14:solidFill>
              <w14:schemeClr w14:val="tx1"/>
            </w14:solidFill>
          </w14:textFill>
        </w:rPr>
      </w:pPr>
      <w:r>
        <w:rPr>
          <w:rFonts w:hint="eastAsia" w:ascii="仿宋" w:hAnsi="仿宋" w:eastAsia="仿宋" w:cs="仿宋"/>
          <w:b/>
          <w:bCs/>
          <w:kern w:val="0"/>
          <w:sz w:val="36"/>
          <w:szCs w:val="36"/>
        </w:rPr>
        <w:t>项目名称：</w:t>
      </w:r>
      <w:r>
        <w:rPr>
          <w:rFonts w:hint="eastAsia" w:ascii="仿宋" w:hAnsi="仿宋" w:eastAsia="仿宋" w:cs="仿宋"/>
          <w:color w:val="000000" w:themeColor="text1"/>
          <w:kern w:val="0"/>
          <w:sz w:val="36"/>
          <w:szCs w:val="36"/>
          <w:u w:val="single"/>
          <w14:textFill>
            <w14:solidFill>
              <w14:schemeClr w14:val="tx1"/>
            </w14:solidFill>
          </w14:textFill>
        </w:rPr>
        <w:t xml:space="preserve"> 广西工商职业技术学院武鸣校区</w:t>
      </w:r>
      <w:r>
        <w:rPr>
          <w:rFonts w:ascii="仿宋" w:hAnsi="仿宋" w:eastAsia="仿宋" w:cs="仿宋"/>
          <w:color w:val="000000" w:themeColor="text1"/>
          <w:kern w:val="0"/>
          <w:sz w:val="36"/>
          <w:szCs w:val="36"/>
          <w:u w:val="single"/>
          <w14:textFill>
            <w14:solidFill>
              <w14:schemeClr w14:val="tx1"/>
            </w14:solidFill>
          </w14:textFill>
        </w:rPr>
        <w:t>青年之家、团委会议室音响设备</w:t>
      </w:r>
      <w:r>
        <w:rPr>
          <w:rFonts w:hint="eastAsia" w:ascii="仿宋" w:hAnsi="仿宋" w:eastAsia="仿宋" w:cs="仿宋"/>
          <w:color w:val="000000" w:themeColor="text1"/>
          <w:kern w:val="0"/>
          <w:sz w:val="36"/>
          <w:szCs w:val="36"/>
          <w:u w:val="single"/>
          <w14:textFill>
            <w14:solidFill>
              <w14:schemeClr w14:val="tx1"/>
            </w14:solidFill>
          </w14:textFill>
        </w:rPr>
        <w:t>采购项目</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申购单位：</w:t>
      </w:r>
      <w:r>
        <w:rPr>
          <w:rFonts w:hint="eastAsia" w:ascii="仿宋" w:hAnsi="仿宋" w:eastAsia="仿宋" w:cs="仿宋"/>
          <w:kern w:val="0"/>
          <w:sz w:val="36"/>
          <w:szCs w:val="36"/>
          <w:u w:val="single"/>
        </w:rPr>
        <w:t xml:space="preserve">         广西工商职业技术学院       </w:t>
      </w:r>
      <w:r>
        <w:rPr>
          <w:rFonts w:hint="eastAsia" w:ascii="仿宋" w:hAnsi="仿宋" w:eastAsia="仿宋" w:cs="仿宋"/>
          <w:sz w:val="36"/>
          <w:szCs w:val="36"/>
          <w:u w:val="single"/>
        </w:rPr>
        <w:t xml:space="preserve">    </w:t>
      </w:r>
    </w:p>
    <w:p>
      <w:pPr>
        <w:autoSpaceDE w:val="0"/>
        <w:autoSpaceDN w:val="0"/>
        <w:adjustRightInd w:val="0"/>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采购机构：</w:t>
      </w:r>
      <w:r>
        <w:rPr>
          <w:rFonts w:hint="eastAsia" w:ascii="仿宋" w:hAnsi="仿宋" w:eastAsia="仿宋" w:cs="仿宋"/>
          <w:kern w:val="0"/>
          <w:sz w:val="36"/>
          <w:szCs w:val="36"/>
          <w:u w:val="single"/>
        </w:rPr>
        <w:t xml:space="preserve">          国有资产管理处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编制时间：</w:t>
      </w:r>
      <w:r>
        <w:rPr>
          <w:rFonts w:hint="eastAsia" w:ascii="仿宋" w:hAnsi="仿宋" w:eastAsia="仿宋" w:cs="仿宋"/>
          <w:kern w:val="0"/>
          <w:sz w:val="36"/>
          <w:szCs w:val="36"/>
          <w:u w:val="single"/>
        </w:rPr>
        <w:t xml:space="preserve">          </w:t>
      </w:r>
      <w:r>
        <w:rPr>
          <w:rFonts w:hint="eastAsia" w:ascii="仿宋" w:hAnsi="仿宋" w:eastAsia="仿宋" w:cs="仿宋"/>
          <w:sz w:val="36"/>
          <w:szCs w:val="36"/>
          <w:u w:val="single"/>
        </w:rPr>
        <w:t>2023年</w:t>
      </w:r>
      <w:r>
        <w:rPr>
          <w:rFonts w:hint="eastAsia" w:ascii="仿宋" w:hAnsi="仿宋" w:eastAsia="仿宋" w:cs="仿宋"/>
          <w:sz w:val="36"/>
          <w:szCs w:val="36"/>
          <w:u w:val="single"/>
          <w:lang w:val="en-US" w:eastAsia="zh-CN"/>
        </w:rPr>
        <w:t>10</w:t>
      </w:r>
      <w:r>
        <w:rPr>
          <w:rFonts w:hint="eastAsia" w:ascii="仿宋" w:hAnsi="仿宋" w:eastAsia="仿宋" w:cs="仿宋"/>
          <w:sz w:val="36"/>
          <w:szCs w:val="36"/>
          <w:u w:val="single"/>
        </w:rPr>
        <w:t xml:space="preserve">月                   </w:t>
      </w: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rPr>
          <w:rFonts w:ascii="宋体" w:hAnsi="宋体"/>
        </w:rPr>
        <w:sectPr>
          <w:pgSz w:w="11906" w:h="16838"/>
          <w:pgMar w:top="1440" w:right="1080" w:bottom="1440" w:left="1080" w:header="851" w:footer="992" w:gutter="0"/>
          <w:cols w:space="425" w:num="1"/>
          <w:docGrid w:type="lines" w:linePitch="312" w:charSpace="0"/>
        </w:sectPr>
      </w:pPr>
    </w:p>
    <w:sdt>
      <w:sdtPr>
        <w:rPr>
          <w:rFonts w:ascii="宋体" w:hAnsi="宋体"/>
        </w:rPr>
        <w:id w:val="147473107"/>
        <w15:color w:val="DBDBDB"/>
        <w:docPartObj>
          <w:docPartGallery w:val="Table of Contents"/>
          <w:docPartUnique/>
        </w:docPartObj>
      </w:sdtPr>
      <w:sdtEndPr>
        <w:rPr>
          <w:rFonts w:hint="eastAsia" w:asciiTheme="majorEastAsia" w:hAnsiTheme="majorEastAsia" w:eastAsiaTheme="majorEastAsia"/>
          <w:szCs w:val="30"/>
        </w:rPr>
      </w:sdtEndPr>
      <w:sdtContent>
        <w:p>
          <w:pPr>
            <w:jc w:val="center"/>
            <w:rPr>
              <w:rFonts w:ascii="宋体" w:hAnsi="宋体" w:cs="宋体"/>
              <w:b/>
              <w:bCs/>
              <w:sz w:val="32"/>
              <w:szCs w:val="32"/>
            </w:rPr>
          </w:pPr>
          <w:r>
            <w:rPr>
              <w:rFonts w:hint="eastAsia" w:ascii="宋体" w:hAnsi="宋体" w:cs="宋体"/>
              <w:b/>
              <w:bCs/>
              <w:sz w:val="32"/>
              <w:szCs w:val="32"/>
            </w:rPr>
            <w:t>目录</w:t>
          </w:r>
        </w:p>
        <w:p>
          <w:pPr>
            <w:pStyle w:val="84"/>
            <w:tabs>
              <w:tab w:val="right" w:leader="dot" w:pos="9746"/>
            </w:tabs>
            <w:rPr>
              <w:rFonts w:ascii="宋体" w:hAnsi="宋体" w:cs="宋体"/>
              <w:sz w:val="32"/>
              <w:szCs w:val="32"/>
            </w:rPr>
          </w:pPr>
          <w:r>
            <w:rPr>
              <w:rFonts w:hint="eastAsia" w:ascii="宋体" w:hAnsi="宋体" w:cs="宋体"/>
              <w:b/>
              <w:sz w:val="32"/>
              <w:szCs w:val="32"/>
            </w:rPr>
            <w:fldChar w:fldCharType="begin"/>
          </w:r>
          <w:r>
            <w:rPr>
              <w:rFonts w:hint="eastAsia" w:ascii="宋体" w:hAnsi="宋体" w:cs="宋体"/>
              <w:b/>
              <w:sz w:val="32"/>
              <w:szCs w:val="32"/>
            </w:rPr>
            <w:instrText xml:space="preserve">TOC \o "1-1" \h \u </w:instrText>
          </w:r>
          <w:r>
            <w:rPr>
              <w:rFonts w:hint="eastAsia" w:ascii="宋体" w:hAnsi="宋体" w:cs="宋体"/>
              <w:b/>
              <w:sz w:val="32"/>
              <w:szCs w:val="32"/>
            </w:rPr>
            <w:fldChar w:fldCharType="separate"/>
          </w:r>
          <w:r>
            <w:fldChar w:fldCharType="begin"/>
          </w:r>
          <w:r>
            <w:instrText xml:space="preserve"> HYPERLINK \l "_Toc4522" </w:instrText>
          </w:r>
          <w:r>
            <w:fldChar w:fldCharType="separate"/>
          </w:r>
          <w:r>
            <w:rPr>
              <w:rFonts w:hint="eastAsia" w:ascii="宋体" w:hAnsi="宋体" w:cs="宋体"/>
              <w:bCs/>
              <w:sz w:val="32"/>
              <w:szCs w:val="32"/>
            </w:rPr>
            <w:t>第一章 项目公告</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_Toc4522 \h </w:instrText>
          </w:r>
          <w:r>
            <w:rPr>
              <w:rFonts w:hint="eastAsia" w:ascii="宋体" w:hAnsi="宋体" w:cs="宋体"/>
              <w:sz w:val="32"/>
              <w:szCs w:val="32"/>
            </w:rPr>
            <w:fldChar w:fldCharType="separate"/>
          </w:r>
          <w:r>
            <w:rPr>
              <w:rFonts w:hint="eastAsia" w:ascii="宋体" w:hAnsi="宋体" w:cs="宋体"/>
              <w:sz w:val="32"/>
              <w:szCs w:val="32"/>
            </w:rPr>
            <w:t>2</w:t>
          </w:r>
          <w:r>
            <w:rPr>
              <w:rFonts w:hint="eastAsia" w:ascii="宋体" w:hAnsi="宋体" w:cs="宋体"/>
              <w:sz w:val="32"/>
              <w:szCs w:val="32"/>
            </w:rPr>
            <w:fldChar w:fldCharType="end"/>
          </w:r>
          <w:r>
            <w:rPr>
              <w:rFonts w:hint="eastAsia" w:ascii="宋体" w:hAnsi="宋体" w:cs="宋体"/>
              <w:sz w:val="32"/>
              <w:szCs w:val="32"/>
            </w:rPr>
            <w:fldChar w:fldCharType="end"/>
          </w:r>
        </w:p>
        <w:p>
          <w:pPr>
            <w:pStyle w:val="84"/>
            <w:tabs>
              <w:tab w:val="right" w:leader="dot" w:pos="9746"/>
            </w:tabs>
            <w:rPr>
              <w:rFonts w:ascii="宋体" w:hAnsi="宋体" w:cs="宋体"/>
              <w:sz w:val="32"/>
              <w:szCs w:val="32"/>
            </w:rPr>
          </w:pPr>
          <w:r>
            <w:fldChar w:fldCharType="begin"/>
          </w:r>
          <w:r>
            <w:instrText xml:space="preserve"> HYPERLINK \l "_Toc12753" </w:instrText>
          </w:r>
          <w:r>
            <w:fldChar w:fldCharType="separate"/>
          </w:r>
          <w:r>
            <w:rPr>
              <w:rFonts w:hint="eastAsia" w:ascii="宋体" w:hAnsi="宋体" w:cs="宋体"/>
              <w:bCs/>
              <w:sz w:val="32"/>
              <w:szCs w:val="32"/>
            </w:rPr>
            <w:t>第二章 采购需求</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_Toc12753 \h </w:instrText>
          </w:r>
          <w:r>
            <w:rPr>
              <w:rFonts w:hint="eastAsia" w:ascii="宋体" w:hAnsi="宋体" w:cs="宋体"/>
              <w:sz w:val="32"/>
              <w:szCs w:val="32"/>
            </w:rPr>
            <w:fldChar w:fldCharType="separate"/>
          </w:r>
          <w:r>
            <w:rPr>
              <w:rFonts w:hint="eastAsia" w:ascii="宋体" w:hAnsi="宋体" w:cs="宋体"/>
              <w:sz w:val="32"/>
              <w:szCs w:val="32"/>
            </w:rPr>
            <w:t>4</w:t>
          </w:r>
          <w:r>
            <w:rPr>
              <w:rFonts w:hint="eastAsia" w:ascii="宋体" w:hAnsi="宋体" w:cs="宋体"/>
              <w:sz w:val="32"/>
              <w:szCs w:val="32"/>
            </w:rPr>
            <w:fldChar w:fldCharType="end"/>
          </w:r>
          <w:r>
            <w:rPr>
              <w:rFonts w:hint="eastAsia" w:ascii="宋体" w:hAnsi="宋体" w:cs="宋体"/>
              <w:sz w:val="32"/>
              <w:szCs w:val="32"/>
            </w:rPr>
            <w:fldChar w:fldCharType="end"/>
          </w:r>
        </w:p>
        <w:p>
          <w:pPr>
            <w:pStyle w:val="84"/>
            <w:tabs>
              <w:tab w:val="right" w:leader="dot" w:pos="9746"/>
            </w:tabs>
            <w:rPr>
              <w:rFonts w:ascii="宋体" w:hAnsi="宋体" w:cs="宋体"/>
              <w:sz w:val="32"/>
              <w:szCs w:val="32"/>
            </w:rPr>
          </w:pPr>
          <w:r>
            <w:fldChar w:fldCharType="begin"/>
          </w:r>
          <w:r>
            <w:instrText xml:space="preserve"> HYPERLINK \l "_Toc17117" </w:instrText>
          </w:r>
          <w:r>
            <w:fldChar w:fldCharType="separate"/>
          </w:r>
          <w:r>
            <w:rPr>
              <w:rFonts w:hint="eastAsia" w:ascii="宋体" w:hAnsi="宋体" w:cs="宋体"/>
              <w:bCs/>
              <w:sz w:val="32"/>
              <w:szCs w:val="32"/>
            </w:rPr>
            <w:t>第三章 评审办法</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_Toc17117 \h </w:instrText>
          </w:r>
          <w:r>
            <w:rPr>
              <w:rFonts w:hint="eastAsia" w:ascii="宋体" w:hAnsi="宋体" w:cs="宋体"/>
              <w:sz w:val="32"/>
              <w:szCs w:val="32"/>
            </w:rPr>
            <w:fldChar w:fldCharType="separate"/>
          </w:r>
          <w:r>
            <w:rPr>
              <w:rFonts w:hint="eastAsia" w:ascii="宋体" w:hAnsi="宋体" w:cs="宋体"/>
              <w:sz w:val="32"/>
              <w:szCs w:val="32"/>
            </w:rPr>
            <w:t>8</w:t>
          </w:r>
          <w:r>
            <w:rPr>
              <w:rFonts w:hint="eastAsia" w:ascii="宋体" w:hAnsi="宋体" w:cs="宋体"/>
              <w:sz w:val="32"/>
              <w:szCs w:val="32"/>
            </w:rPr>
            <w:fldChar w:fldCharType="end"/>
          </w:r>
          <w:r>
            <w:rPr>
              <w:rFonts w:hint="eastAsia" w:ascii="宋体" w:hAnsi="宋体" w:cs="宋体"/>
              <w:sz w:val="32"/>
              <w:szCs w:val="32"/>
            </w:rPr>
            <w:fldChar w:fldCharType="end"/>
          </w:r>
        </w:p>
        <w:p>
          <w:pPr>
            <w:pStyle w:val="84"/>
            <w:tabs>
              <w:tab w:val="right" w:leader="dot" w:pos="9746"/>
            </w:tabs>
            <w:rPr>
              <w:rFonts w:ascii="宋体" w:hAnsi="宋体" w:cs="宋体"/>
              <w:sz w:val="32"/>
              <w:szCs w:val="32"/>
            </w:rPr>
          </w:pPr>
          <w:r>
            <w:fldChar w:fldCharType="begin"/>
          </w:r>
          <w:r>
            <w:instrText xml:space="preserve"> HYPERLINK \l "_Toc1359" </w:instrText>
          </w:r>
          <w:r>
            <w:fldChar w:fldCharType="separate"/>
          </w:r>
          <w:r>
            <w:rPr>
              <w:rFonts w:hint="eastAsia" w:ascii="宋体" w:hAnsi="宋体" w:cs="宋体"/>
              <w:bCs/>
              <w:sz w:val="32"/>
              <w:szCs w:val="32"/>
            </w:rPr>
            <w:t>第四章 响应文件格式</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_Toc1359 \h </w:instrText>
          </w:r>
          <w:r>
            <w:rPr>
              <w:rFonts w:hint="eastAsia" w:ascii="宋体" w:hAnsi="宋体" w:cs="宋体"/>
              <w:sz w:val="32"/>
              <w:szCs w:val="32"/>
            </w:rPr>
            <w:fldChar w:fldCharType="separate"/>
          </w:r>
          <w:r>
            <w:rPr>
              <w:rFonts w:hint="eastAsia" w:ascii="宋体" w:hAnsi="宋体" w:cs="宋体"/>
              <w:sz w:val="32"/>
              <w:szCs w:val="32"/>
            </w:rPr>
            <w:t>9</w:t>
          </w:r>
          <w:r>
            <w:rPr>
              <w:rFonts w:hint="eastAsia" w:ascii="宋体" w:hAnsi="宋体" w:cs="宋体"/>
              <w:sz w:val="32"/>
              <w:szCs w:val="32"/>
            </w:rPr>
            <w:fldChar w:fldCharType="end"/>
          </w:r>
          <w:r>
            <w:rPr>
              <w:rFonts w:hint="eastAsia" w:ascii="宋体" w:hAnsi="宋体" w:cs="宋体"/>
              <w:sz w:val="32"/>
              <w:szCs w:val="32"/>
            </w:rPr>
            <w:fldChar w:fldCharType="end"/>
          </w:r>
        </w:p>
        <w:p>
          <w:pPr>
            <w:pStyle w:val="84"/>
            <w:tabs>
              <w:tab w:val="right" w:leader="dot" w:pos="9746"/>
            </w:tabs>
            <w:rPr>
              <w:rFonts w:ascii="宋体" w:hAnsi="宋体" w:cs="宋体"/>
              <w:sz w:val="32"/>
              <w:szCs w:val="32"/>
            </w:rPr>
          </w:pPr>
          <w:r>
            <w:fldChar w:fldCharType="begin"/>
          </w:r>
          <w:r>
            <w:instrText xml:space="preserve"> HYPERLINK \l "_Toc24643" </w:instrText>
          </w:r>
          <w:r>
            <w:fldChar w:fldCharType="separate"/>
          </w:r>
          <w:r>
            <w:rPr>
              <w:rFonts w:hint="eastAsia" w:ascii="宋体" w:hAnsi="宋体" w:cs="宋体"/>
              <w:bCs/>
              <w:sz w:val="32"/>
              <w:szCs w:val="32"/>
            </w:rPr>
            <w:t>第五章 合同主要条款</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_Toc24643 \h </w:instrText>
          </w:r>
          <w:r>
            <w:rPr>
              <w:rFonts w:hint="eastAsia" w:ascii="宋体" w:hAnsi="宋体" w:cs="宋体"/>
              <w:sz w:val="32"/>
              <w:szCs w:val="32"/>
            </w:rPr>
            <w:fldChar w:fldCharType="separate"/>
          </w:r>
          <w:r>
            <w:rPr>
              <w:rFonts w:hint="eastAsia" w:ascii="宋体" w:hAnsi="宋体" w:cs="宋体"/>
              <w:sz w:val="32"/>
              <w:szCs w:val="32"/>
            </w:rPr>
            <w:t>18</w:t>
          </w:r>
          <w:r>
            <w:rPr>
              <w:rFonts w:hint="eastAsia" w:ascii="宋体" w:hAnsi="宋体" w:cs="宋体"/>
              <w:sz w:val="32"/>
              <w:szCs w:val="32"/>
            </w:rPr>
            <w:fldChar w:fldCharType="end"/>
          </w:r>
          <w:r>
            <w:rPr>
              <w:rFonts w:hint="eastAsia" w:ascii="宋体" w:hAnsi="宋体" w:cs="宋体"/>
              <w:sz w:val="32"/>
              <w:szCs w:val="32"/>
            </w:rPr>
            <w:fldChar w:fldCharType="end"/>
          </w:r>
        </w:p>
        <w:p>
          <w:pPr>
            <w:jc w:val="left"/>
            <w:rPr>
              <w:rFonts w:asciiTheme="majorEastAsia" w:hAnsiTheme="majorEastAsia" w:eastAsiaTheme="majorEastAsia"/>
              <w:b/>
              <w:sz w:val="30"/>
              <w:szCs w:val="30"/>
            </w:rPr>
          </w:pPr>
          <w:r>
            <w:rPr>
              <w:rFonts w:hint="eastAsia" w:ascii="宋体" w:hAnsi="宋体" w:cs="宋体"/>
              <w:sz w:val="32"/>
              <w:szCs w:val="32"/>
            </w:rPr>
            <w:fldChar w:fldCharType="end"/>
          </w:r>
        </w:p>
      </w:sdtContent>
    </w:sdt>
    <w:p>
      <w:pPr>
        <w:pStyle w:val="3"/>
        <w:ind w:firstLine="2800" w:firstLineChars="700"/>
        <w:rPr>
          <w:b w:val="0"/>
          <w:bCs/>
          <w:sz w:val="40"/>
          <w:szCs w:val="22"/>
        </w:rPr>
      </w:pPr>
      <w:bookmarkStart w:id="1" w:name="_Toc4522"/>
    </w:p>
    <w:p/>
    <w:p>
      <w:pPr>
        <w:jc w:val="center"/>
        <w:rPr>
          <w:bCs/>
          <w:sz w:val="40"/>
          <w:szCs w:val="22"/>
        </w:rPr>
      </w:pPr>
      <w:r>
        <w:rPr>
          <w:rFonts w:hint="eastAsia"/>
          <w:bCs/>
          <w:sz w:val="40"/>
          <w:szCs w:val="22"/>
        </w:rPr>
        <w:br w:type="page"/>
      </w:r>
    </w:p>
    <w:p>
      <w:pPr>
        <w:pStyle w:val="3"/>
        <w:ind w:firstLine="2800" w:firstLineChars="700"/>
        <w:jc w:val="left"/>
        <w:rPr>
          <w:rFonts w:asciiTheme="majorEastAsia" w:hAnsiTheme="majorEastAsia" w:cstheme="minorBidi"/>
          <w:sz w:val="36"/>
          <w:szCs w:val="36"/>
        </w:rPr>
      </w:pPr>
      <w:r>
        <w:rPr>
          <w:rFonts w:hint="eastAsia"/>
          <w:b w:val="0"/>
          <w:bCs/>
          <w:sz w:val="40"/>
          <w:szCs w:val="22"/>
        </w:rPr>
        <w:t>第一章 项目</w:t>
      </w:r>
      <w:bookmarkEnd w:id="1"/>
      <w:r>
        <w:rPr>
          <w:rFonts w:hint="eastAsia"/>
          <w:b w:val="0"/>
          <w:bCs/>
          <w:sz w:val="40"/>
          <w:szCs w:val="22"/>
        </w:rPr>
        <w:t>公告</w:t>
      </w:r>
    </w:p>
    <w:p>
      <w:pPr>
        <w:spacing w:line="500" w:lineRule="exact"/>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一、采购项目</w:t>
      </w:r>
    </w:p>
    <w:p>
      <w:pPr>
        <w:spacing w:line="500" w:lineRule="exact"/>
        <w:ind w:firstLine="560" w:firstLineChars="20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Theme="minorEastAsia" w:hAnsiTheme="minorEastAsia" w:eastAsiaTheme="minorEastAsia" w:cstheme="minorBidi"/>
          <w:color w:val="000000" w:themeColor="text1"/>
          <w:sz w:val="28"/>
          <w:szCs w:val="28"/>
          <w14:textFill>
            <w14:solidFill>
              <w14:schemeClr w14:val="tx1"/>
            </w14:solidFill>
          </w14:textFill>
        </w:rPr>
        <w:t>项目名称：广西工商职业技术学院武鸣校区</w:t>
      </w:r>
      <w:r>
        <w:rPr>
          <w:rFonts w:asciiTheme="minorEastAsia" w:hAnsiTheme="minorEastAsia" w:eastAsiaTheme="minorEastAsia" w:cstheme="minorBidi"/>
          <w:color w:val="000000" w:themeColor="text1"/>
          <w:sz w:val="28"/>
          <w:szCs w:val="28"/>
          <w14:textFill>
            <w14:solidFill>
              <w14:schemeClr w14:val="tx1"/>
            </w14:solidFill>
          </w14:textFill>
        </w:rPr>
        <w:t>青年之家、团委会议室音响设备</w:t>
      </w:r>
      <w:r>
        <w:rPr>
          <w:rFonts w:hint="eastAsia" w:asciiTheme="minorEastAsia" w:hAnsiTheme="minorEastAsia" w:eastAsiaTheme="minorEastAsia" w:cstheme="minorBidi"/>
          <w:color w:val="000000" w:themeColor="text1"/>
          <w:sz w:val="28"/>
          <w:szCs w:val="28"/>
          <w14:textFill>
            <w14:solidFill>
              <w14:schemeClr w14:val="tx1"/>
            </w14:solidFill>
          </w14:textFill>
        </w:rPr>
        <w:t>采购项目</w:t>
      </w:r>
    </w:p>
    <w:p>
      <w:pPr>
        <w:spacing w:line="360" w:lineRule="auto"/>
        <w:ind w:firstLine="560" w:firstLineChars="20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Theme="minorEastAsia" w:hAnsiTheme="minorEastAsia" w:eastAsiaTheme="minorEastAsia" w:cstheme="minorBidi"/>
          <w:color w:val="000000" w:themeColor="text1"/>
          <w:sz w:val="28"/>
          <w:szCs w:val="28"/>
          <w14:textFill>
            <w14:solidFill>
              <w14:schemeClr w14:val="tx1"/>
            </w14:solidFill>
          </w14:textFill>
        </w:rPr>
        <w:t>项目预算：人民币陆万贰仟肆佰叁拾元整（￥</w:t>
      </w:r>
      <w:r>
        <w:rPr>
          <w:rFonts w:ascii="仿宋" w:hAnsi="仿宋" w:eastAsia="仿宋" w:cs="仿宋"/>
          <w:color w:val="000000" w:themeColor="text1"/>
          <w:sz w:val="32"/>
          <w:szCs w:val="32"/>
          <w14:textFill>
            <w14:solidFill>
              <w14:schemeClr w14:val="tx1"/>
            </w14:solidFill>
          </w14:textFill>
        </w:rPr>
        <w:t>62</w:t>
      </w:r>
      <w:r>
        <w:rPr>
          <w:rFonts w:hint="eastAsia" w:ascii="仿宋" w:hAnsi="仿宋" w:eastAsia="仿宋" w:cs="仿宋"/>
          <w:color w:val="000000" w:themeColor="text1"/>
          <w:sz w:val="32"/>
          <w:szCs w:val="32"/>
          <w14:textFill>
            <w14:solidFill>
              <w14:schemeClr w14:val="tx1"/>
            </w14:solidFill>
          </w14:textFill>
        </w:rPr>
        <w:t>,</w:t>
      </w:r>
      <w:r>
        <w:rPr>
          <w:rFonts w:ascii="仿宋" w:hAnsi="仿宋" w:eastAsia="仿宋" w:cs="仿宋"/>
          <w:color w:val="000000" w:themeColor="text1"/>
          <w:sz w:val="32"/>
          <w:szCs w:val="32"/>
          <w14:textFill>
            <w14:solidFill>
              <w14:schemeClr w14:val="tx1"/>
            </w14:solidFill>
          </w14:textFill>
        </w:rPr>
        <w:t>43</w:t>
      </w:r>
      <w:r>
        <w:rPr>
          <w:rFonts w:hint="eastAsia" w:ascii="仿宋" w:hAnsi="仿宋" w:eastAsia="仿宋" w:cs="仿宋"/>
          <w:color w:val="000000" w:themeColor="text1"/>
          <w:sz w:val="32"/>
          <w:szCs w:val="32"/>
          <w14:textFill>
            <w14:solidFill>
              <w14:schemeClr w14:val="tx1"/>
            </w14:solidFill>
          </w14:textFill>
        </w:rPr>
        <w:t>0.00</w:t>
      </w:r>
      <w:r>
        <w:rPr>
          <w:rFonts w:hint="eastAsia" w:asciiTheme="minorEastAsia" w:hAnsiTheme="minorEastAsia" w:eastAsiaTheme="minorEastAsia" w:cstheme="minorBidi"/>
          <w:color w:val="000000" w:themeColor="text1"/>
          <w:sz w:val="28"/>
          <w:szCs w:val="28"/>
          <w14:textFill>
            <w14:solidFill>
              <w14:schemeClr w14:val="tx1"/>
            </w14:solidFill>
          </w14:textFill>
        </w:rPr>
        <w:t>）。</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cs="Arial" w:asciiTheme="minorEastAsia" w:hAnsiTheme="minorEastAsia" w:eastAsiaTheme="minorEastAsia"/>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color w:val="000000" w:themeColor="text1"/>
          <w:kern w:val="0"/>
          <w:sz w:val="28"/>
          <w:szCs w:val="28"/>
          <w:shd w:val="clear" w:color="auto" w:fill="FFFFFF"/>
          <w14:textFill>
            <w14:solidFill>
              <w14:schemeClr w14:val="tx1"/>
            </w14:solidFill>
          </w14:textFill>
        </w:rPr>
      </w:pPr>
      <w:r>
        <w:rPr>
          <w:rFonts w:hint="eastAsia" w:cs="Arial" w:asciiTheme="minorEastAsia" w:hAnsiTheme="minorEastAsia" w:eastAsiaTheme="minorEastAsia"/>
          <w:b/>
          <w:color w:val="000000" w:themeColor="text1"/>
          <w:kern w:val="0"/>
          <w:sz w:val="28"/>
          <w:szCs w:val="28"/>
          <w:shd w:val="clear" w:color="auto" w:fill="FFFFFF"/>
          <w14:textFill>
            <w14:solidFill>
              <w14:schemeClr w14:val="tx1"/>
            </w14:solidFill>
          </w14:textFill>
        </w:rPr>
        <w:t>三、采购内容</w:t>
      </w:r>
    </w:p>
    <w:p>
      <w:pPr>
        <w:jc w:val="left"/>
        <w:rPr>
          <w:rFonts w:cs="Arial" w:asciiTheme="minorEastAsia" w:hAnsiTheme="minorEastAsia" w:eastAsiaTheme="minorEastAsia"/>
          <w:color w:val="000000" w:themeColor="text1"/>
          <w:kern w:val="0"/>
          <w:sz w:val="28"/>
          <w:szCs w:val="28"/>
          <w:shd w:val="clear" w:color="auto" w:fill="FFFFFF"/>
          <w14:textFill>
            <w14:solidFill>
              <w14:schemeClr w14:val="tx1"/>
            </w14:solidFill>
          </w14:textFill>
        </w:rPr>
      </w:pPr>
      <w:r>
        <w:rPr>
          <w:rFonts w:hint="eastAsia"/>
          <w:color w:val="000000" w:themeColor="text1"/>
          <w:sz w:val="22"/>
          <w:szCs w:val="22"/>
          <w14:textFill>
            <w14:solidFill>
              <w14:schemeClr w14:val="tx1"/>
            </w14:solidFill>
          </w14:textFill>
        </w:rPr>
        <w:t xml:space="preserve">    </w:t>
      </w:r>
      <w:r>
        <w:rPr>
          <w:rFonts w:hint="eastAsia" w:cs="Arial" w:asciiTheme="minorEastAsia" w:hAnsiTheme="minorEastAsia" w:eastAsiaTheme="minorEastAsia"/>
          <w:color w:val="000000" w:themeColor="text1"/>
          <w:kern w:val="0"/>
          <w:sz w:val="28"/>
          <w:szCs w:val="28"/>
          <w:shd w:val="clear" w:color="auto" w:fill="FFFFFF"/>
          <w14:textFill>
            <w14:solidFill>
              <w14:schemeClr w14:val="tx1"/>
            </w14:solidFill>
          </w14:textFill>
        </w:rPr>
        <w:t>会议声柱4只、数字功放</w:t>
      </w:r>
      <w:r>
        <w:rPr>
          <w:rFonts w:hint="eastAsia" w:cs="Arial" w:asciiTheme="minorEastAsia" w:hAnsiTheme="minorEastAsia" w:eastAsiaTheme="minorEastAsia"/>
          <w:color w:val="000000" w:themeColor="text1"/>
          <w:kern w:val="0"/>
          <w:sz w:val="28"/>
          <w:szCs w:val="28"/>
          <w:shd w:val="clear" w:color="auto" w:fill="FFFFFF"/>
          <w:lang w:val="en-US" w:eastAsia="zh-CN"/>
          <w14:textFill>
            <w14:solidFill>
              <w14:schemeClr w14:val="tx1"/>
            </w14:solidFill>
          </w14:textFill>
        </w:rPr>
        <w:t>I</w:t>
      </w:r>
      <w:r>
        <w:rPr>
          <w:rFonts w:hint="eastAsia" w:cs="Arial" w:asciiTheme="minorEastAsia" w:hAnsiTheme="minorEastAsia" w:eastAsiaTheme="minorEastAsia"/>
          <w:color w:val="000000" w:themeColor="text1"/>
          <w:kern w:val="0"/>
          <w:sz w:val="28"/>
          <w:szCs w:val="28"/>
          <w:shd w:val="clear" w:color="auto" w:fill="FFFFFF"/>
          <w14:textFill>
            <w14:solidFill>
              <w14:schemeClr w14:val="tx1"/>
            </w14:solidFill>
          </w14:textFill>
        </w:rPr>
        <w:t>设备</w:t>
      </w:r>
      <w:r>
        <w:rPr>
          <w:rFonts w:hint="eastAsia" w:cs="Arial" w:asciiTheme="minorEastAsia" w:hAnsiTheme="minorEastAsia" w:eastAsiaTheme="minorEastAsia"/>
          <w:color w:val="000000" w:themeColor="text1"/>
          <w:kern w:val="0"/>
          <w:sz w:val="28"/>
          <w:szCs w:val="28"/>
          <w:shd w:val="clear" w:color="auto" w:fill="FFFFFF"/>
          <w:lang w:val="en-US" w:eastAsia="zh-CN"/>
          <w14:textFill>
            <w14:solidFill>
              <w14:schemeClr w14:val="tx1"/>
            </w14:solidFill>
          </w14:textFill>
        </w:rPr>
        <w:t>2</w:t>
      </w:r>
      <w:r>
        <w:rPr>
          <w:rFonts w:hint="eastAsia" w:cs="Arial" w:asciiTheme="minorEastAsia" w:hAnsiTheme="minorEastAsia" w:eastAsiaTheme="minorEastAsia"/>
          <w:color w:val="000000" w:themeColor="text1"/>
          <w:kern w:val="0"/>
          <w:sz w:val="28"/>
          <w:szCs w:val="28"/>
          <w:shd w:val="clear" w:color="auto" w:fill="FFFFFF"/>
          <w14:textFill>
            <w14:solidFill>
              <w14:schemeClr w14:val="tx1"/>
            </w14:solidFill>
          </w14:textFill>
        </w:rPr>
        <w:t>台、数字功放</w:t>
      </w:r>
      <w:r>
        <w:rPr>
          <w:rFonts w:hint="eastAsia" w:cs="Arial" w:asciiTheme="minorEastAsia" w:hAnsiTheme="minorEastAsia" w:eastAsiaTheme="minorEastAsia"/>
          <w:color w:val="000000" w:themeColor="text1"/>
          <w:kern w:val="0"/>
          <w:sz w:val="28"/>
          <w:szCs w:val="28"/>
          <w:shd w:val="clear" w:color="auto" w:fill="FFFFFF"/>
          <w:lang w:val="en-US" w:eastAsia="zh-CN"/>
          <w14:textFill>
            <w14:solidFill>
              <w14:schemeClr w14:val="tx1"/>
            </w14:solidFill>
          </w14:textFill>
        </w:rPr>
        <w:t>II</w:t>
      </w:r>
      <w:r>
        <w:rPr>
          <w:rFonts w:hint="eastAsia" w:cs="Arial" w:asciiTheme="minorEastAsia" w:hAnsiTheme="minorEastAsia" w:eastAsiaTheme="minorEastAsia"/>
          <w:color w:val="000000" w:themeColor="text1"/>
          <w:kern w:val="0"/>
          <w:sz w:val="28"/>
          <w:szCs w:val="28"/>
          <w:shd w:val="clear" w:color="auto" w:fill="FFFFFF"/>
          <w14:textFill>
            <w14:solidFill>
              <w14:schemeClr w14:val="tx1"/>
            </w14:solidFill>
          </w14:textFill>
        </w:rPr>
        <w:t>设备2台、全频音箱4台、音频处理器2台、一拖二无线会议话筒3套、一拖二无线手持话筒2套、调音台2台、智能电源时序器2台、设备机柜2套、系统集成服务1项，具体参数详见附件。</w:t>
      </w:r>
    </w:p>
    <w:p>
      <w:pPr>
        <w:spacing w:line="360" w:lineRule="auto"/>
        <w:ind w:firstLine="562" w:firstLineChars="200"/>
        <w:rPr>
          <w:rFonts w:cs="Arial" w:asciiTheme="minorEastAsia" w:hAnsiTheme="minorEastAsia" w:eastAsiaTheme="minorEastAsia"/>
          <w:b/>
          <w:color w:val="000000" w:themeColor="text1"/>
          <w:kern w:val="0"/>
          <w:sz w:val="28"/>
          <w:szCs w:val="28"/>
          <w:shd w:val="clear" w:color="auto" w:fill="FFFFFF"/>
          <w14:textFill>
            <w14:solidFill>
              <w14:schemeClr w14:val="tx1"/>
            </w14:solidFill>
          </w14:textFill>
        </w:rPr>
      </w:pPr>
      <w:r>
        <w:rPr>
          <w:rFonts w:hint="eastAsia" w:cs="Arial" w:asciiTheme="minorEastAsia" w:hAnsiTheme="minorEastAsia" w:eastAsiaTheme="minorEastAsia"/>
          <w:b/>
          <w:color w:val="000000" w:themeColor="text1"/>
          <w:kern w:val="0"/>
          <w:sz w:val="28"/>
          <w:szCs w:val="28"/>
          <w:shd w:val="clear" w:color="auto" w:fill="FFFFFF"/>
          <w14:textFill>
            <w14:solidFill>
              <w14:schemeClr w14:val="tx1"/>
            </w14:solidFill>
          </w14:textFill>
        </w:rPr>
        <w:t>四、资质要求</w:t>
      </w:r>
    </w:p>
    <w:p>
      <w:pPr>
        <w:spacing w:line="360" w:lineRule="auto"/>
        <w:ind w:firstLine="560" w:firstLineChars="20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Theme="minorEastAsia" w:hAnsiTheme="minorEastAsia" w:eastAsiaTheme="minorEastAsia" w:cstheme="minorBidi"/>
          <w:color w:val="000000" w:themeColor="text1"/>
          <w:sz w:val="28"/>
          <w:szCs w:val="28"/>
          <w14:textFill>
            <w14:solidFill>
              <w14:schemeClr w14:val="tx1"/>
            </w14:solidFill>
          </w14:textFill>
        </w:rPr>
        <w:t>1、具备《中华人民共和国政府采购法》第二十二条规定的条件。</w:t>
      </w:r>
    </w:p>
    <w:p>
      <w:pPr>
        <w:spacing w:line="500" w:lineRule="exact"/>
        <w:ind w:firstLine="560" w:firstLineChars="200"/>
        <w:rPr>
          <w:rFonts w:asciiTheme="minorEastAsia" w:hAnsi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Bidi"/>
          <w:color w:val="000000" w:themeColor="text1"/>
          <w:sz w:val="28"/>
          <w:szCs w:val="28"/>
          <w14:textFill>
            <w14:solidFill>
              <w14:schemeClr w14:val="tx1"/>
            </w14:solidFill>
          </w14:textFill>
        </w:rPr>
        <w:t>2、</w:t>
      </w:r>
      <w:r>
        <w:rPr>
          <w:rFonts w:hint="eastAsia" w:asciiTheme="minorEastAsia" w:hAnsiTheme="minorEastAsia"/>
          <w:color w:val="000000" w:themeColor="text1"/>
          <w:sz w:val="28"/>
          <w:szCs w:val="28"/>
          <w14:textFill>
            <w14:solidFill>
              <w14:schemeClr w14:val="tx1"/>
            </w14:solidFill>
          </w14:textFill>
        </w:rPr>
        <w:t>要求具</w:t>
      </w:r>
      <w:r>
        <w:rPr>
          <w:rFonts w:asciiTheme="minorEastAsia" w:hAnsiTheme="minorEastAsia"/>
          <w:color w:val="000000" w:themeColor="text1"/>
          <w:sz w:val="28"/>
          <w:szCs w:val="28"/>
          <w14:textFill>
            <w14:solidFill>
              <w14:schemeClr w14:val="tx1"/>
            </w14:solidFill>
          </w14:textFill>
        </w:rPr>
        <w:t>有国内注册（指按国家有关规定要求注册的）</w:t>
      </w:r>
      <w:r>
        <w:rPr>
          <w:rFonts w:hint="eastAsia" w:asciiTheme="minorEastAsia" w:hAnsiTheme="minorEastAsia"/>
          <w:color w:val="000000" w:themeColor="text1"/>
          <w:sz w:val="28"/>
          <w:szCs w:val="28"/>
          <w14:textFill>
            <w14:solidFill>
              <w14:schemeClr w14:val="tx1"/>
            </w14:solidFill>
          </w14:textFill>
        </w:rPr>
        <w:t>，具有提供</w:t>
      </w:r>
      <w:r>
        <w:rPr>
          <w:rFonts w:asciiTheme="minorEastAsia" w:hAnsiTheme="minorEastAsia"/>
          <w:color w:val="000000" w:themeColor="text1"/>
          <w:sz w:val="28"/>
          <w:szCs w:val="28"/>
          <w14:textFill>
            <w14:solidFill>
              <w14:schemeClr w14:val="tx1"/>
            </w14:solidFill>
          </w14:textFill>
        </w:rPr>
        <w:t>本次采购货物</w:t>
      </w:r>
      <w:r>
        <w:rPr>
          <w:rFonts w:hint="eastAsia" w:asciiTheme="minorEastAsia" w:hAnsiTheme="minorEastAsia"/>
          <w:color w:val="000000" w:themeColor="text1"/>
          <w:sz w:val="28"/>
          <w:szCs w:val="28"/>
          <w14:textFill>
            <w14:solidFill>
              <w14:schemeClr w14:val="tx1"/>
            </w14:solidFill>
          </w14:textFill>
        </w:rPr>
        <w:t>及服务能力的供应商。</w:t>
      </w:r>
    </w:p>
    <w:p>
      <w:pPr>
        <w:spacing w:line="500" w:lineRule="exact"/>
        <w:ind w:firstLine="560" w:firstLineChars="20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Theme="minorEastAsia" w:hAnsiTheme="minorEastAsia" w:eastAsiaTheme="minorEastAsia" w:cstheme="minorBidi"/>
          <w:color w:val="000000" w:themeColor="text1"/>
          <w:sz w:val="28"/>
          <w:szCs w:val="28"/>
          <w14:textFill>
            <w14:solidFill>
              <w14:schemeClr w14:val="tx1"/>
            </w14:solidFill>
          </w14:textFill>
        </w:rPr>
        <w:t>3</w:t>
      </w:r>
      <w:r>
        <w:rPr>
          <w:rFonts w:asciiTheme="minorEastAsia" w:hAnsiTheme="minorEastAsia" w:eastAsiaTheme="minorEastAsia" w:cstheme="minorBidi"/>
          <w:color w:val="000000" w:themeColor="text1"/>
          <w:sz w:val="28"/>
          <w:szCs w:val="28"/>
          <w14:textFill>
            <w14:solidFill>
              <w14:schemeClr w14:val="tx1"/>
            </w14:solidFill>
          </w14:textFill>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Theme="minorEastAsia" w:hAnsiTheme="minorEastAsia" w:eastAsiaTheme="minorEastAsia" w:cstheme="minorBidi"/>
          <w:color w:val="000000" w:themeColor="text1"/>
          <w:sz w:val="28"/>
          <w:szCs w:val="28"/>
          <w14:textFill>
            <w14:solidFill>
              <w14:schemeClr w14:val="tx1"/>
            </w14:solidFill>
          </w14:textFill>
        </w:rPr>
        <w:t>4、本项目不接受联合体投标。</w:t>
      </w:r>
    </w:p>
    <w:p>
      <w:pPr>
        <w:spacing w:line="360" w:lineRule="auto"/>
        <w:ind w:firstLine="562" w:firstLineChars="200"/>
        <w:rPr>
          <w:rFonts w:asciiTheme="minorEastAsia" w:hAnsiTheme="minorEastAsia" w:eastAsiaTheme="minorEastAsia" w:cstheme="minorBidi"/>
          <w:b/>
          <w:color w:val="000000" w:themeColor="text1"/>
          <w:sz w:val="28"/>
          <w:szCs w:val="28"/>
          <w14:textFill>
            <w14:solidFill>
              <w14:schemeClr w14:val="tx1"/>
            </w14:solidFill>
          </w14:textFill>
        </w:rPr>
      </w:pPr>
      <w:r>
        <w:rPr>
          <w:rFonts w:hint="eastAsia" w:asciiTheme="minorEastAsia" w:hAnsiTheme="minorEastAsia" w:eastAsiaTheme="minorEastAsia" w:cstheme="minorBidi"/>
          <w:b/>
          <w:color w:val="000000" w:themeColor="text1"/>
          <w:sz w:val="28"/>
          <w:szCs w:val="28"/>
          <w14:textFill>
            <w14:solidFill>
              <w14:schemeClr w14:val="tx1"/>
            </w14:solidFill>
          </w14:textFill>
        </w:rPr>
        <w:t>五、报名材料</w:t>
      </w:r>
    </w:p>
    <w:p>
      <w:pPr>
        <w:spacing w:line="360" w:lineRule="auto"/>
        <w:ind w:firstLine="560" w:firstLineChars="20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Theme="minorEastAsia" w:hAnsiTheme="minorEastAsia" w:eastAsiaTheme="minorEastAsia" w:cstheme="minorBidi"/>
          <w:color w:val="000000" w:themeColor="text1"/>
          <w:sz w:val="28"/>
          <w:szCs w:val="28"/>
          <w14:textFill>
            <w14:solidFill>
              <w14:schemeClr w14:val="tx1"/>
            </w14:solidFill>
          </w14:textFill>
        </w:rPr>
        <w:t>（一）现场报名核验资料（无需密封）：营业执照（复印件盖公章）、法人授权委托书、委托代理人身份证（复印件盖公章）。以上所有材料均需加盖公章，否则视为资料不齐，报名无效。</w:t>
      </w:r>
    </w:p>
    <w:p>
      <w:pPr>
        <w:spacing w:line="360" w:lineRule="auto"/>
        <w:ind w:firstLine="560" w:firstLineChars="20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Theme="minorEastAsia" w:hAnsiTheme="minorEastAsia" w:eastAsiaTheme="minorEastAsia" w:cstheme="minorBidi"/>
          <w:color w:val="000000" w:themeColor="text1"/>
          <w:sz w:val="28"/>
          <w:szCs w:val="28"/>
          <w14:textFill>
            <w14:solidFill>
              <w14:schemeClr w14:val="tx1"/>
            </w14:solidFill>
          </w14:textFill>
        </w:rPr>
        <w:t>（二）密封盖公章的响应文件：响应文件格式详见附件《广西工商职业技术学院武鸣校区</w:t>
      </w:r>
      <w:r>
        <w:rPr>
          <w:rFonts w:asciiTheme="minorEastAsia" w:hAnsiTheme="minorEastAsia" w:eastAsiaTheme="minorEastAsia" w:cstheme="minorBidi"/>
          <w:color w:val="000000" w:themeColor="text1"/>
          <w:sz w:val="28"/>
          <w:szCs w:val="28"/>
          <w14:textFill>
            <w14:solidFill>
              <w14:schemeClr w14:val="tx1"/>
            </w14:solidFill>
          </w14:textFill>
        </w:rPr>
        <w:t>青年之家、团委会议室音响设备</w:t>
      </w:r>
      <w:r>
        <w:rPr>
          <w:rFonts w:hint="eastAsia" w:asciiTheme="minorEastAsia" w:hAnsiTheme="minorEastAsia" w:eastAsiaTheme="minorEastAsia" w:cstheme="minorBidi"/>
          <w:color w:val="000000" w:themeColor="text1"/>
          <w:sz w:val="28"/>
          <w:szCs w:val="28"/>
          <w14:textFill>
            <w14:solidFill>
              <w14:schemeClr w14:val="tx1"/>
            </w14:solidFill>
          </w14:textFill>
        </w:rPr>
        <w:t>采购项目</w:t>
      </w:r>
      <w:r>
        <w:rPr>
          <w:rFonts w:hint="eastAsia" w:asciiTheme="minorEastAsia" w:hAnsiTheme="minorEastAsia" w:eastAsiaTheme="minorEastAsia" w:cstheme="minorBidi"/>
          <w:color w:val="000000" w:themeColor="text1"/>
          <w:sz w:val="28"/>
          <w:szCs w:val="28"/>
          <w:lang w:eastAsia="zh-CN"/>
          <w14:textFill>
            <w14:solidFill>
              <w14:schemeClr w14:val="tx1"/>
            </w14:solidFill>
          </w14:textFill>
        </w:rPr>
        <w:t>询价通知书</w:t>
      </w:r>
      <w:r>
        <w:rPr>
          <w:rFonts w:hint="eastAsia" w:asciiTheme="minorEastAsia" w:hAnsiTheme="minorEastAsia" w:eastAsiaTheme="minorEastAsia" w:cstheme="minorBidi"/>
          <w:color w:val="000000" w:themeColor="text1"/>
          <w:sz w:val="28"/>
          <w:szCs w:val="28"/>
          <w14:textFill>
            <w14:solidFill>
              <w14:schemeClr w14:val="tx1"/>
            </w14:solidFill>
          </w14:textFill>
        </w:rPr>
        <w:t>》，请按照采购文件相关内容制作响应文件（一式一份），并密封盖公章，报名时一并提交。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Theme="minorEastAsia" w:hAnsiTheme="minorEastAsia" w:eastAsiaTheme="minorEastAsia" w:cstheme="minorBidi"/>
          <w:color w:val="000000" w:themeColor="text1"/>
          <w:sz w:val="28"/>
          <w:szCs w:val="28"/>
          <w14:textFill>
            <w14:solidFill>
              <w14:schemeClr w14:val="tx1"/>
            </w14:solidFill>
          </w14:textFill>
        </w:rPr>
        <w:t>以上资料均须加盖公章，否则视为资料不齐，报名无效。</w:t>
      </w:r>
    </w:p>
    <w:p>
      <w:pPr>
        <w:spacing w:line="360" w:lineRule="auto"/>
        <w:ind w:firstLine="562" w:firstLineChars="20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Theme="minorEastAsia" w:hAnsiTheme="minorEastAsia" w:eastAsiaTheme="minorEastAsia" w:cstheme="minorBidi"/>
          <w:b/>
          <w:color w:val="000000" w:themeColor="text1"/>
          <w:sz w:val="28"/>
          <w:szCs w:val="28"/>
          <w14:textFill>
            <w14:solidFill>
              <w14:schemeClr w14:val="tx1"/>
            </w14:solidFill>
          </w14:textFill>
        </w:rPr>
        <w:t>六、报名时间地点</w:t>
      </w:r>
    </w:p>
    <w:p>
      <w:pPr>
        <w:spacing w:line="360" w:lineRule="auto"/>
        <w:ind w:firstLine="560" w:firstLineChars="200"/>
        <w:rPr>
          <w:rFonts w:hint="default" w:asciiTheme="minorEastAsia" w:hAnsiTheme="minorEastAsia" w:eastAsiaTheme="minorEastAsia" w:cstheme="minorBidi"/>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8"/>
          <w:szCs w:val="28"/>
          <w:lang w:val="en-US" w:eastAsia="zh-CN"/>
          <w14:textFill>
            <w14:solidFill>
              <w14:schemeClr w14:val="tx1"/>
            </w14:solidFill>
          </w14:textFill>
        </w:rPr>
        <w:t>公告时间：2023年10月7日-10月9日。</w:t>
      </w:r>
    </w:p>
    <w:p>
      <w:pPr>
        <w:spacing w:line="360" w:lineRule="auto"/>
        <w:ind w:firstLine="560" w:firstLineChars="20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Theme="minorEastAsia" w:hAnsiTheme="minorEastAsia" w:eastAsiaTheme="minorEastAsia" w:cstheme="minorBidi"/>
          <w:color w:val="000000" w:themeColor="text1"/>
          <w:sz w:val="28"/>
          <w:szCs w:val="28"/>
          <w14:textFill>
            <w14:solidFill>
              <w14:schemeClr w14:val="tx1"/>
            </w14:solidFill>
          </w14:textFill>
        </w:rPr>
        <w:t>现场报名及递交材料时间：</w:t>
      </w:r>
      <w:r>
        <w:rPr>
          <w:rFonts w:hint="eastAsia" w:ascii="宋体" w:hAnsi="宋体" w:eastAsia="宋体" w:cs="宋体"/>
          <w:i w:val="0"/>
          <w:iCs w:val="0"/>
          <w:caps w:val="0"/>
          <w:color w:val="000000"/>
          <w:spacing w:val="0"/>
          <w:sz w:val="28"/>
          <w:szCs w:val="28"/>
        </w:rPr>
        <w:t>2023年10月9日下午</w:t>
      </w:r>
      <w:r>
        <w:rPr>
          <w:rFonts w:hint="eastAsia" w:ascii="宋体" w:hAnsi="宋体" w:cs="宋体"/>
          <w:i w:val="0"/>
          <w:iCs w:val="0"/>
          <w:caps w:val="0"/>
          <w:color w:val="000000"/>
          <w:spacing w:val="0"/>
          <w:sz w:val="28"/>
          <w:szCs w:val="28"/>
          <w:lang w:val="en-US" w:eastAsia="zh-CN"/>
        </w:rPr>
        <w:t>15</w:t>
      </w:r>
      <w:r>
        <w:rPr>
          <w:rFonts w:hint="eastAsia" w:ascii="宋体" w:hAnsi="宋体" w:eastAsia="宋体" w:cs="宋体"/>
          <w:i w:val="0"/>
          <w:iCs w:val="0"/>
          <w:caps w:val="0"/>
          <w:color w:val="000000"/>
          <w:spacing w:val="0"/>
          <w:sz w:val="28"/>
          <w:szCs w:val="28"/>
        </w:rPr>
        <w:t>：00</w:t>
      </w:r>
      <w:r>
        <w:rPr>
          <w:rFonts w:hint="eastAsia" w:ascii="宋体" w:hAnsi="宋体" w:cs="宋体"/>
          <w:i w:val="0"/>
          <w:iCs w:val="0"/>
          <w:caps w:val="0"/>
          <w:color w:val="000000"/>
          <w:spacing w:val="0"/>
          <w:sz w:val="28"/>
          <w:szCs w:val="28"/>
          <w:lang w:val="en-US" w:eastAsia="zh-CN"/>
        </w:rPr>
        <w:t>-17</w:t>
      </w:r>
      <w:r>
        <w:rPr>
          <w:rFonts w:hint="eastAsia" w:ascii="宋体" w:hAnsi="宋体" w:eastAsia="宋体" w:cs="宋体"/>
          <w:i w:val="0"/>
          <w:iCs w:val="0"/>
          <w:caps w:val="0"/>
          <w:color w:val="000000"/>
          <w:spacing w:val="0"/>
          <w:sz w:val="28"/>
          <w:szCs w:val="28"/>
        </w:rPr>
        <w:t>：00</w:t>
      </w:r>
      <w:r>
        <w:rPr>
          <w:rFonts w:hint="eastAsia" w:asciiTheme="minorEastAsia" w:hAnsiTheme="minorEastAsia" w:eastAsiaTheme="minorEastAsia" w:cstheme="minorBidi"/>
          <w:color w:val="000000" w:themeColor="text1"/>
          <w:sz w:val="28"/>
          <w:szCs w:val="28"/>
          <w14:textFill>
            <w14:solidFill>
              <w14:schemeClr w14:val="tx1"/>
            </w14:solidFill>
          </w14:textFill>
        </w:rPr>
        <w:t>，逾期不再接收报名。</w:t>
      </w:r>
    </w:p>
    <w:p>
      <w:pPr>
        <w:spacing w:line="360" w:lineRule="auto"/>
        <w:ind w:firstLine="560" w:firstLineChars="20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Theme="minorEastAsia" w:hAnsiTheme="minorEastAsia" w:eastAsiaTheme="minorEastAsia" w:cstheme="minorBidi"/>
          <w:color w:val="000000" w:themeColor="text1"/>
          <w:sz w:val="28"/>
          <w:szCs w:val="28"/>
          <w14:textFill>
            <w14:solidFill>
              <w14:schemeClr w14:val="tx1"/>
            </w14:solidFill>
          </w14:textFill>
        </w:rPr>
        <w:t>地址：南宁市西乡塘区鹏飞路15号广西工商职业技术学院鹏飞校区教学楼6楼26</w:t>
      </w:r>
      <w:r>
        <w:rPr>
          <w:rFonts w:asciiTheme="minorEastAsia" w:hAnsiTheme="minorEastAsia" w:eastAsiaTheme="minorEastAsia" w:cstheme="minorBidi"/>
          <w:color w:val="000000" w:themeColor="text1"/>
          <w:sz w:val="28"/>
          <w:szCs w:val="28"/>
          <w14:textFill>
            <w14:solidFill>
              <w14:schemeClr w14:val="tx1"/>
            </w14:solidFill>
          </w14:textFill>
        </w:rPr>
        <w:t>1</w:t>
      </w:r>
      <w:r>
        <w:rPr>
          <w:rFonts w:hint="eastAsia" w:asciiTheme="minorEastAsia" w:hAnsiTheme="minorEastAsia" w:eastAsiaTheme="minorEastAsia" w:cstheme="minorBidi"/>
          <w:color w:val="000000" w:themeColor="text1"/>
          <w:sz w:val="28"/>
          <w:szCs w:val="28"/>
          <w14:textFill>
            <w14:solidFill>
              <w14:schemeClr w14:val="tx1"/>
            </w14:solidFill>
          </w14:textFill>
        </w:rPr>
        <w:t>7室。</w:t>
      </w:r>
    </w:p>
    <w:p>
      <w:pPr>
        <w:spacing w:line="360" w:lineRule="auto"/>
        <w:ind w:firstLine="562" w:firstLineChars="200"/>
        <w:rPr>
          <w:rFonts w:asciiTheme="minorEastAsia" w:hAnsiTheme="minorEastAsia" w:eastAsiaTheme="minorEastAsia" w:cstheme="minorBidi"/>
          <w:b/>
          <w:color w:val="000000" w:themeColor="text1"/>
          <w:sz w:val="28"/>
          <w:szCs w:val="28"/>
          <w14:textFill>
            <w14:solidFill>
              <w14:schemeClr w14:val="tx1"/>
            </w14:solidFill>
          </w14:textFill>
        </w:rPr>
      </w:pPr>
      <w:r>
        <w:rPr>
          <w:rFonts w:hint="eastAsia" w:asciiTheme="minorEastAsia" w:hAnsiTheme="minorEastAsia" w:eastAsiaTheme="minorEastAsia" w:cstheme="minorBidi"/>
          <w:b/>
          <w:color w:val="000000" w:themeColor="text1"/>
          <w:sz w:val="28"/>
          <w:szCs w:val="28"/>
          <w14:textFill>
            <w14:solidFill>
              <w14:schemeClr w14:val="tx1"/>
            </w14:solidFill>
          </w14:textFill>
        </w:rPr>
        <w:t>七、联系人及电话</w:t>
      </w:r>
    </w:p>
    <w:p>
      <w:pPr>
        <w:spacing w:line="360" w:lineRule="auto"/>
        <w:ind w:firstLine="560" w:firstLineChars="20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Theme="minorEastAsia" w:hAnsiTheme="minorEastAsia" w:eastAsiaTheme="minorEastAsia" w:cstheme="minorBidi"/>
          <w:color w:val="000000" w:themeColor="text1"/>
          <w:sz w:val="28"/>
          <w:szCs w:val="28"/>
          <w14:textFill>
            <w14:solidFill>
              <w14:schemeClr w14:val="tx1"/>
            </w14:solidFill>
          </w14:textFill>
        </w:rPr>
        <w:t xml:space="preserve">唐老师，0771-2394894 </w:t>
      </w:r>
    </w:p>
    <w:p>
      <w:pPr>
        <w:snapToGrid w:val="0"/>
        <w:spacing w:line="340" w:lineRule="atLeast"/>
        <w:ind w:firstLine="562" w:firstLineChars="200"/>
        <w:rPr>
          <w:rFonts w:ascii="宋体" w:hAnsi="宋体" w:cs="宋体"/>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八、网上公告媒体查询</w:t>
      </w:r>
      <w:r>
        <w:rPr>
          <w:rFonts w:hint="eastAsia" w:ascii="宋体" w:hAnsi="宋体" w:cs="宋体"/>
          <w:color w:val="000000" w:themeColor="text1"/>
          <w:sz w:val="28"/>
          <w:szCs w:val="28"/>
          <w14:textFill>
            <w14:solidFill>
              <w14:schemeClr w14:val="tx1"/>
            </w14:solidFill>
          </w14:textFill>
        </w:rPr>
        <w:t>：广西工商职业技术学院（</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"http://www.gxgsxy.com/" </w:instrText>
      </w:r>
      <w:r>
        <w:rPr>
          <w:color w:val="000000" w:themeColor="text1"/>
          <w14:textFill>
            <w14:solidFill>
              <w14:schemeClr w14:val="tx1"/>
            </w14:solidFill>
          </w14:textFill>
        </w:rPr>
        <w:fldChar w:fldCharType="separate"/>
      </w:r>
      <w:r>
        <w:rPr>
          <w:rFonts w:hint="eastAsia" w:ascii="宋体" w:hAnsi="宋体" w:cs="宋体"/>
          <w:color w:val="000000" w:themeColor="text1"/>
          <w:sz w:val="28"/>
          <w:szCs w:val="28"/>
          <w14:textFill>
            <w14:solidFill>
              <w14:schemeClr w14:val="tx1"/>
            </w14:solidFill>
          </w14:textFill>
        </w:rPr>
        <w:t>http://www.gxgsxy.com/</w:t>
      </w:r>
      <w:r>
        <w:rPr>
          <w:rFonts w:hint="eastAsia" w:ascii="宋体" w:hAnsi="宋体" w:cs="宋体"/>
          <w:color w:val="000000" w:themeColor="text1"/>
          <w:sz w:val="28"/>
          <w:szCs w:val="28"/>
          <w14:textFill>
            <w14:solidFill>
              <w14:schemeClr w14:val="tx1"/>
            </w14:solidFill>
          </w14:textFill>
        </w:rPr>
        <w:fldChar w:fldCharType="end"/>
      </w:r>
      <w:r>
        <w:rPr>
          <w:rFonts w:hint="eastAsia" w:ascii="宋体" w:hAnsi="宋体" w:cs="宋体"/>
          <w:color w:val="000000" w:themeColor="text1"/>
          <w:sz w:val="28"/>
          <w:szCs w:val="28"/>
          <w14:textFill>
            <w14:solidFill>
              <w14:schemeClr w14:val="tx1"/>
            </w14:solidFill>
          </w14:textFill>
        </w:rPr>
        <w:t>）</w:t>
      </w:r>
    </w:p>
    <w:p>
      <w:pPr>
        <w:spacing w:line="360" w:lineRule="auto"/>
        <w:ind w:firstLine="562" w:firstLineChars="200"/>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九、采购监督机构</w:t>
      </w:r>
    </w:p>
    <w:p>
      <w:pPr>
        <w:spacing w:line="360" w:lineRule="auto"/>
        <w:ind w:left="840" w:leftChars="200" w:hanging="420" w:hangingChars="15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广西工商职业技术学院纪委办公室、监察室，联系电话0771-2359467。</w:t>
      </w:r>
    </w:p>
    <w:p>
      <w:pPr>
        <w:spacing w:line="360" w:lineRule="auto"/>
        <w:ind w:left="840" w:leftChars="200" w:hanging="420" w:hangingChars="150"/>
        <w:rPr>
          <w:rFonts w:asciiTheme="minorEastAsia" w:hAnsiTheme="minorEastAsia" w:eastAsiaTheme="minorEastAsia" w:cstheme="minorBidi"/>
          <w:color w:val="000000" w:themeColor="text1"/>
          <w:sz w:val="28"/>
          <w:szCs w:val="28"/>
          <w14:textFill>
            <w14:solidFill>
              <w14:schemeClr w14:val="tx1"/>
            </w14:solidFill>
          </w14:textFill>
        </w:rPr>
      </w:pPr>
    </w:p>
    <w:p>
      <w:pPr>
        <w:spacing w:line="360" w:lineRule="auto"/>
        <w:ind w:left="840" w:leftChars="200" w:hanging="420" w:hangingChars="150"/>
        <w:rPr>
          <w:rFonts w:asciiTheme="minorEastAsia" w:hAnsiTheme="minorEastAsia" w:eastAsiaTheme="minorEastAsia" w:cstheme="minorBidi"/>
          <w:color w:val="000000" w:themeColor="text1"/>
          <w:sz w:val="28"/>
          <w:szCs w:val="28"/>
          <w14:textFill>
            <w14:solidFill>
              <w14:schemeClr w14:val="tx1"/>
            </w14:solidFill>
          </w14:textFill>
        </w:rPr>
      </w:pPr>
      <w:r>
        <w:rPr>
          <w:rFonts w:hint="eastAsia" w:asciiTheme="minorEastAsia" w:hAnsiTheme="minorEastAsia" w:eastAsiaTheme="minorEastAsia" w:cstheme="minorBidi"/>
          <w:color w:val="000000" w:themeColor="text1"/>
          <w:sz w:val="28"/>
          <w:szCs w:val="28"/>
          <w14:textFill>
            <w14:solidFill>
              <w14:schemeClr w14:val="tx1"/>
            </w14:solidFill>
          </w14:textFill>
        </w:rPr>
        <w:t>附件:广西工商职业技术学院武鸣校区</w:t>
      </w:r>
      <w:r>
        <w:rPr>
          <w:rFonts w:asciiTheme="minorEastAsia" w:hAnsiTheme="minorEastAsia" w:eastAsiaTheme="minorEastAsia" w:cstheme="minorBidi"/>
          <w:color w:val="000000" w:themeColor="text1"/>
          <w:sz w:val="28"/>
          <w:szCs w:val="28"/>
          <w14:textFill>
            <w14:solidFill>
              <w14:schemeClr w14:val="tx1"/>
            </w14:solidFill>
          </w14:textFill>
        </w:rPr>
        <w:t>青年之家、团委会议室音响设备</w:t>
      </w:r>
      <w:r>
        <w:rPr>
          <w:rFonts w:hint="eastAsia" w:asciiTheme="minorEastAsia" w:hAnsiTheme="minorEastAsia" w:eastAsiaTheme="minorEastAsia" w:cstheme="minorBidi"/>
          <w:color w:val="000000" w:themeColor="text1"/>
          <w:sz w:val="28"/>
          <w:szCs w:val="28"/>
          <w14:textFill>
            <w14:solidFill>
              <w14:schemeClr w14:val="tx1"/>
            </w14:solidFill>
          </w14:textFill>
        </w:rPr>
        <w:t>采购项目询价通知书</w:t>
      </w:r>
    </w:p>
    <w:p>
      <w:pPr>
        <w:spacing w:line="360" w:lineRule="auto"/>
        <w:ind w:firstLine="560" w:firstLineChars="200"/>
        <w:rPr>
          <w:rFonts w:asciiTheme="minorEastAsia" w:hAnsiTheme="minorEastAsia" w:eastAsiaTheme="minorEastAsia" w:cstheme="minorBidi"/>
          <w:color w:val="000000" w:themeColor="text1"/>
          <w:sz w:val="28"/>
          <w:szCs w:val="28"/>
          <w14:textFill>
            <w14:solidFill>
              <w14:schemeClr w14:val="tx1"/>
            </w14:solidFill>
          </w14:textFill>
        </w:rPr>
      </w:pPr>
    </w:p>
    <w:p>
      <w:pPr>
        <w:spacing w:line="360" w:lineRule="auto"/>
        <w:ind w:firstLine="5460" w:firstLineChars="1950"/>
        <w:outlineLvl w:val="0"/>
        <w:rPr>
          <w:rFonts w:asciiTheme="minorEastAsia" w:hAnsiTheme="minorEastAsia" w:eastAsiaTheme="minorEastAsia" w:cstheme="minorBidi"/>
          <w:color w:val="000000" w:themeColor="text1"/>
          <w:sz w:val="28"/>
          <w:szCs w:val="28"/>
          <w14:textFill>
            <w14:solidFill>
              <w14:schemeClr w14:val="tx1"/>
            </w14:solidFill>
          </w14:textFill>
        </w:rPr>
      </w:pPr>
      <w:bookmarkStart w:id="2" w:name="_Toc15229"/>
      <w:r>
        <w:rPr>
          <w:rFonts w:hint="eastAsia" w:asciiTheme="minorEastAsia" w:hAnsiTheme="minorEastAsia" w:eastAsiaTheme="minorEastAsia" w:cstheme="minorBidi"/>
          <w:color w:val="000000" w:themeColor="text1"/>
          <w:sz w:val="28"/>
          <w:szCs w:val="28"/>
          <w14:textFill>
            <w14:solidFill>
              <w14:schemeClr w14:val="tx1"/>
            </w14:solidFill>
          </w14:textFill>
        </w:rPr>
        <w:t>广西工商职业技术学院</w:t>
      </w:r>
      <w:bookmarkEnd w:id="2"/>
    </w:p>
    <w:p>
      <w:pPr>
        <w:spacing w:line="360" w:lineRule="auto"/>
        <w:ind w:firstLine="5740" w:firstLineChars="2050"/>
        <w:rPr>
          <w:rFonts w:asciiTheme="minorEastAsia" w:hAnsiTheme="minorEastAsia"/>
          <w:color w:val="000000" w:themeColor="text1"/>
          <w:sz w:val="28"/>
          <w:szCs w:val="28"/>
          <w14:textFill>
            <w14:solidFill>
              <w14:schemeClr w14:val="tx1"/>
            </w14:solidFill>
          </w14:textFill>
        </w:rPr>
        <w:sectPr>
          <w:footerReference r:id="rId3" w:type="default"/>
          <w:pgSz w:w="11906" w:h="16838"/>
          <w:pgMar w:top="1440" w:right="1080" w:bottom="1440" w:left="1080" w:header="851" w:footer="992" w:gutter="0"/>
          <w:pgNumType w:start="1"/>
          <w:cols w:space="425" w:num="1"/>
          <w:docGrid w:type="lines" w:linePitch="312" w:charSpace="0"/>
        </w:sectPr>
      </w:pPr>
      <w:r>
        <w:rPr>
          <w:rFonts w:hint="eastAsia" w:asciiTheme="minorEastAsia" w:hAnsiTheme="minorEastAsia" w:eastAsiaTheme="minorEastAsia" w:cstheme="minorBidi"/>
          <w:color w:val="000000" w:themeColor="text1"/>
          <w:sz w:val="28"/>
          <w:szCs w:val="28"/>
          <w14:textFill>
            <w14:solidFill>
              <w14:schemeClr w14:val="tx1"/>
            </w14:solidFill>
          </w14:textFill>
        </w:rPr>
        <w:t>2023年</w:t>
      </w:r>
      <w:r>
        <w:rPr>
          <w:rFonts w:hint="eastAsia" w:asciiTheme="minorEastAsia" w:hAnsiTheme="minorEastAsia" w:eastAsiaTheme="minorEastAsia" w:cstheme="minorBidi"/>
          <w:color w:val="000000" w:themeColor="text1"/>
          <w:sz w:val="28"/>
          <w:szCs w:val="28"/>
          <w:lang w:val="en-US" w:eastAsia="zh-CN"/>
          <w14:textFill>
            <w14:solidFill>
              <w14:schemeClr w14:val="tx1"/>
            </w14:solidFill>
          </w14:textFill>
        </w:rPr>
        <w:t>10</w:t>
      </w:r>
      <w:r>
        <w:rPr>
          <w:rFonts w:hint="eastAsia" w:asciiTheme="minorEastAsia" w:hAnsiTheme="minorEastAsia" w:eastAsiaTheme="minorEastAsia" w:cstheme="minorBidi"/>
          <w:color w:val="000000" w:themeColor="text1"/>
          <w:sz w:val="28"/>
          <w:szCs w:val="28"/>
          <w14:textFill>
            <w14:solidFill>
              <w14:schemeClr w14:val="tx1"/>
            </w14:solidFill>
          </w14:textFill>
        </w:rPr>
        <w:t>月</w:t>
      </w:r>
      <w:r>
        <w:rPr>
          <w:rFonts w:hint="eastAsia" w:asciiTheme="minorEastAsia" w:hAnsiTheme="minorEastAsia" w:eastAsiaTheme="minorEastAsia" w:cstheme="minorBidi"/>
          <w:color w:val="000000" w:themeColor="text1"/>
          <w:sz w:val="28"/>
          <w:szCs w:val="28"/>
          <w:lang w:val="en-US" w:eastAsia="zh-CN"/>
          <w14:textFill>
            <w14:solidFill>
              <w14:schemeClr w14:val="tx1"/>
            </w14:solidFill>
          </w14:textFill>
        </w:rPr>
        <w:t>7</w:t>
      </w:r>
      <w:r>
        <w:rPr>
          <w:rFonts w:hint="eastAsia" w:asciiTheme="minorEastAsia" w:hAnsiTheme="minorEastAsia" w:eastAsiaTheme="minorEastAsia" w:cstheme="minorBidi"/>
          <w:color w:val="000000" w:themeColor="text1"/>
          <w:sz w:val="28"/>
          <w:szCs w:val="28"/>
          <w14:textFill>
            <w14:solidFill>
              <w14:schemeClr w14:val="tx1"/>
            </w14:solidFill>
          </w14:textFill>
        </w:rPr>
        <w:t>日</w:t>
      </w:r>
    </w:p>
    <w:p>
      <w:pPr>
        <w:pStyle w:val="3"/>
        <w:ind w:firstLine="3200" w:firstLineChars="800"/>
        <w:jc w:val="left"/>
        <w:rPr>
          <w:b w:val="0"/>
          <w:bCs/>
          <w:color w:val="000000" w:themeColor="text1"/>
          <w:sz w:val="40"/>
          <w:szCs w:val="22"/>
          <w14:textFill>
            <w14:solidFill>
              <w14:schemeClr w14:val="tx1"/>
            </w14:solidFill>
          </w14:textFill>
        </w:rPr>
      </w:pPr>
      <w:bookmarkStart w:id="3" w:name="_Toc12753"/>
      <w:r>
        <w:rPr>
          <w:rFonts w:hint="eastAsia"/>
          <w:b w:val="0"/>
          <w:bCs/>
          <w:color w:val="000000" w:themeColor="text1"/>
          <w:sz w:val="40"/>
          <w:szCs w:val="22"/>
          <w14:textFill>
            <w14:solidFill>
              <w14:schemeClr w14:val="tx1"/>
            </w14:solidFill>
          </w14:textFill>
        </w:rPr>
        <w:t>第二章 采购需求</w:t>
      </w:r>
      <w:bookmarkEnd w:id="3"/>
    </w:p>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说明：</w:t>
      </w:r>
    </w:p>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1.询价文件中标注“★”号的要求为实质性要求，必须满足或优于，否则报价无效。</w:t>
      </w:r>
    </w:p>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3.购需求中出现的品牌、型号或者生产供应商仅起参考作用，不属于指定品牌、型号或者生产供应商的情形。供应商可参照或者选用其他相当的品牌、型号或者生产供应商替代。</w:t>
      </w:r>
    </w:p>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tbl>
      <w:tblPr>
        <w:tblStyle w:val="18"/>
        <w:tblpPr w:leftFromText="180" w:rightFromText="180" w:vertAnchor="text" w:horzAnchor="page" w:tblpX="1070" w:tblpY="29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343"/>
        <w:gridCol w:w="1847"/>
        <w:gridCol w:w="3798"/>
        <w:gridCol w:w="767"/>
        <w:gridCol w:w="697"/>
        <w:gridCol w:w="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vAlign w:val="center"/>
          </w:tcPr>
          <w:p>
            <w:pPr>
              <w:jc w:val="left"/>
              <w:rPr>
                <w:rFonts w:ascii="宋体" w:hAnsi="宋体" w:cs="宋体"/>
                <w:b/>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w:t>
            </w:r>
            <w:r>
              <w:rPr>
                <w:rFonts w:hint="eastAsia" w:ascii="宋体" w:hAnsi="宋体" w:cs="宋体"/>
                <w:b/>
                <w:color w:val="000000" w:themeColor="text1"/>
                <w:sz w:val="24"/>
                <w14:textFill>
                  <w14:solidFill>
                    <w14:schemeClr w14:val="tx1"/>
                  </w14:solidFill>
                </w14:textFill>
              </w:rPr>
              <w:t>（一）技术需求</w:t>
            </w:r>
            <w:bookmarkStart w:id="16" w:name="_GoBack"/>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674"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采购内容</w:t>
            </w:r>
          </w:p>
        </w:tc>
        <w:tc>
          <w:tcPr>
            <w:tcW w:w="92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参考品牌、型号</w:t>
            </w:r>
          </w:p>
        </w:tc>
        <w:tc>
          <w:tcPr>
            <w:tcW w:w="1906"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技术参数</w:t>
            </w:r>
          </w:p>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（括性能、材料、结构、外观、安全，或者服务内容和标准）</w:t>
            </w:r>
          </w:p>
        </w:tc>
        <w:tc>
          <w:tcPr>
            <w:tcW w:w="385"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单位</w:t>
            </w:r>
          </w:p>
        </w:tc>
        <w:tc>
          <w:tcPr>
            <w:tcW w:w="350"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数量</w:t>
            </w:r>
          </w:p>
        </w:tc>
        <w:tc>
          <w:tcPr>
            <w:tcW w:w="360"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w:t>
            </w:r>
          </w:p>
        </w:tc>
        <w:tc>
          <w:tcPr>
            <w:tcW w:w="674"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会议声柱</w:t>
            </w:r>
          </w:p>
        </w:tc>
        <w:tc>
          <w:tcPr>
            <w:tcW w:w="927" w:type="pct"/>
            <w:vAlign w:val="center"/>
          </w:tcPr>
          <w:p>
            <w:pPr>
              <w:jc w:val="center"/>
              <w:rPr>
                <w:color w:val="000000" w:themeColor="text1"/>
                <w:sz w:val="22"/>
                <w:szCs w:val="22"/>
                <w14:textFill>
                  <w14:solidFill>
                    <w14:schemeClr w14:val="tx1"/>
                  </w14:solidFill>
                </w14:textFill>
              </w:rPr>
            </w:pPr>
          </w:p>
        </w:tc>
        <w:tc>
          <w:tcPr>
            <w:tcW w:w="1906"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1、系统类型System type：4.5"5单元2分频全频扬声器</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2、低音LF driver：4×4.5"</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3、高音HF driver：1×1"</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4、频响范围Frequency response(Hz)：100-20KHz (±3dB)</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5、阻抗Impedance(ohms)：8Ω</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6、额定功率Rms power (W)：200W</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7、峰值功率Peak power (W):800W</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8、灵敏度Sensitivity(SPL 1W@1M)：95dB</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9、最大声压Maximum SPL(dB)：115dB</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10、覆盖角度Coverage angle(Hx V): 150°×15°</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11、箱体结构Structure: 复合夹板</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12、箱体表面处理Finish: 黑色水性环保点漆</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13、连接器Connector ：2 x Speakon NL4</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14、净重 Net weight(Kg)：8.3Kg</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15、箱体尺寸Box size(高H*宽W*深D）mm：685x130x175mm</w:t>
            </w:r>
          </w:p>
        </w:tc>
        <w:tc>
          <w:tcPr>
            <w:tcW w:w="38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只</w:t>
            </w:r>
          </w:p>
        </w:tc>
        <w:tc>
          <w:tcPr>
            <w:tcW w:w="350"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4</w:t>
            </w:r>
          </w:p>
        </w:tc>
        <w:tc>
          <w:tcPr>
            <w:tcW w:w="360" w:type="pct"/>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674"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数字功放</w:t>
            </w:r>
          </w:p>
        </w:tc>
        <w:tc>
          <w:tcPr>
            <w:tcW w:w="927" w:type="pct"/>
            <w:vAlign w:val="center"/>
          </w:tcPr>
          <w:p>
            <w:pPr>
              <w:jc w:val="center"/>
              <w:rPr>
                <w:color w:val="000000" w:themeColor="text1"/>
                <w:sz w:val="22"/>
                <w:szCs w:val="22"/>
                <w14:textFill>
                  <w14:solidFill>
                    <w14:schemeClr w14:val="tx1"/>
                  </w14:solidFill>
                </w14:textFill>
              </w:rPr>
            </w:pPr>
          </w:p>
        </w:tc>
        <w:tc>
          <w:tcPr>
            <w:tcW w:w="1906"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1、1U纯后级两通道数字功放</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2、输出功率:8Ω立体声 350W*2</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3、输入灵敏度:0.775V/1V/32dB</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 xml:space="preserve">4、频率响应:8Ω 20Hz~20KHz </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5、谐波失真:8Ω 1kHZ</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6、信噪比:A8Ω 1kHZ,1V</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7、工作电压：AC220V+10%,50Hz</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8、外形尺寸(W×D×H):483mm×228mm×45mm</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9、重量:5.4kg</w:t>
            </w:r>
          </w:p>
        </w:tc>
        <w:tc>
          <w:tcPr>
            <w:tcW w:w="38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台</w:t>
            </w:r>
          </w:p>
        </w:tc>
        <w:tc>
          <w:tcPr>
            <w:tcW w:w="350"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360" w:type="pct"/>
            <w:vAlign w:val="center"/>
          </w:tcPr>
          <w:p>
            <w:pPr>
              <w:jc w:val="center"/>
              <w:rPr>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w:t>
            </w:r>
          </w:p>
        </w:tc>
        <w:tc>
          <w:tcPr>
            <w:tcW w:w="674"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全频音箱</w:t>
            </w:r>
          </w:p>
        </w:tc>
        <w:tc>
          <w:tcPr>
            <w:tcW w:w="927" w:type="pct"/>
            <w:vAlign w:val="center"/>
          </w:tcPr>
          <w:p>
            <w:pPr>
              <w:jc w:val="center"/>
              <w:rPr>
                <w:color w:val="000000" w:themeColor="text1"/>
                <w:sz w:val="22"/>
                <w:szCs w:val="22"/>
                <w14:textFill>
                  <w14:solidFill>
                    <w14:schemeClr w14:val="tx1"/>
                  </w14:solidFill>
                </w14:textFill>
              </w:rPr>
            </w:pPr>
          </w:p>
        </w:tc>
        <w:tc>
          <w:tcPr>
            <w:tcW w:w="1906"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1、系统类型System type：2分频2单元全频箱</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2、低音LF driver：1×10"</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3、高音HF driver：1×1.5"</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4、频响范围Frequency response(Hz)：60-18KHz (±3dB)</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5、阻抗Impedance(ohms)：8Ω</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6、额定功率Rms power (W)：300W</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7、峰值功率Peak power (W)：1200W</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8、灵敏度Sensitivity(SPL 1W@1M)：96dB</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9、最大声压Maximum SPL(dB)：117dB</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10、覆盖角度Coverage angle(Hx V): 100°×60°</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11、箱体结构Structure: 多层复合夹板</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12、箱体表面处理Finish: 咖啡色点漆</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13、连接器Connector ：2 x Speakon NL4</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14、净重 Net weight(Kg)： 16Kg</w:t>
            </w:r>
          </w:p>
        </w:tc>
        <w:tc>
          <w:tcPr>
            <w:tcW w:w="38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只</w:t>
            </w:r>
          </w:p>
          <w:p>
            <w:pPr>
              <w:jc w:val="center"/>
              <w:rPr>
                <w:color w:val="000000" w:themeColor="text1"/>
                <w:sz w:val="22"/>
                <w:szCs w:val="22"/>
                <w14:textFill>
                  <w14:solidFill>
                    <w14:schemeClr w14:val="tx1"/>
                  </w14:solidFill>
                </w14:textFill>
              </w:rPr>
            </w:pPr>
          </w:p>
        </w:tc>
        <w:tc>
          <w:tcPr>
            <w:tcW w:w="350"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4</w:t>
            </w:r>
          </w:p>
        </w:tc>
        <w:tc>
          <w:tcPr>
            <w:tcW w:w="360" w:type="pct"/>
            <w:vAlign w:val="center"/>
          </w:tcPr>
          <w:p>
            <w:pPr>
              <w:jc w:val="center"/>
              <w:rPr>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4</w:t>
            </w:r>
          </w:p>
        </w:tc>
        <w:tc>
          <w:tcPr>
            <w:tcW w:w="674"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数字功放</w:t>
            </w:r>
          </w:p>
        </w:tc>
        <w:tc>
          <w:tcPr>
            <w:tcW w:w="927" w:type="pct"/>
            <w:vAlign w:val="center"/>
          </w:tcPr>
          <w:p>
            <w:pPr>
              <w:jc w:val="center"/>
              <w:rPr>
                <w:color w:val="000000" w:themeColor="text1"/>
                <w:sz w:val="22"/>
                <w:szCs w:val="22"/>
                <w14:textFill>
                  <w14:solidFill>
                    <w14:schemeClr w14:val="tx1"/>
                  </w14:solidFill>
                </w14:textFill>
              </w:rPr>
            </w:pPr>
          </w:p>
        </w:tc>
        <w:tc>
          <w:tcPr>
            <w:tcW w:w="1906"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1、1U纯后级两通道数字功放</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2、输出功率:8Ω立体声 500W*2</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3、输入灵敏度:0.775V/1V/32dB</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 xml:space="preserve">4、频率响应:8Ω 20Hz~20KHz </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5、谐波失真:8Ω 1kHZ</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6、信噪比:A8Ω 1kHZ,1V</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7、工作电压：AC220V+10%,50Hz</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8、外形尺寸(W×D×H):483mm×228mm×45mm</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9、重量:5.6kg</w:t>
            </w:r>
          </w:p>
        </w:tc>
        <w:tc>
          <w:tcPr>
            <w:tcW w:w="38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台</w:t>
            </w:r>
          </w:p>
        </w:tc>
        <w:tc>
          <w:tcPr>
            <w:tcW w:w="350"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360" w:type="pct"/>
            <w:vAlign w:val="center"/>
          </w:tcPr>
          <w:p>
            <w:pPr>
              <w:jc w:val="center"/>
              <w:rPr>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5</w:t>
            </w:r>
          </w:p>
        </w:tc>
        <w:tc>
          <w:tcPr>
            <w:tcW w:w="674"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音频</w:t>
            </w:r>
          </w:p>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处理器</w:t>
            </w:r>
          </w:p>
        </w:tc>
        <w:tc>
          <w:tcPr>
            <w:tcW w:w="927" w:type="pct"/>
            <w:vAlign w:val="center"/>
          </w:tcPr>
          <w:p>
            <w:pPr>
              <w:jc w:val="center"/>
              <w:rPr>
                <w:color w:val="000000" w:themeColor="text1"/>
                <w:sz w:val="22"/>
                <w:szCs w:val="22"/>
                <w14:textFill>
                  <w14:solidFill>
                    <w14:schemeClr w14:val="tx1"/>
                  </w14:solidFill>
                </w14:textFill>
              </w:rPr>
            </w:pPr>
          </w:p>
        </w:tc>
        <w:tc>
          <w:tcPr>
            <w:tcW w:w="1906"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1、采用开关电源设计，能自动调整90伏至250伏之间的外电输入，能在世界的任何地方应用，而无须作调整。</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2、数字信号处理器采用高精度的DSP芯片48bit的内部数据处理，具有极高的动态范围及优秀的音质。</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3、2进4出处理器，预设多分频模式：2X2+2分频，2X3分频，4+2分频，5+1分频和6分频模式。</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4、同时每个输出通道的信号源可任意选择。</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5、每个通道包括：增益，参量均衡器，分频，延时，相位，限幅器共有20个用户存储模式，通过RS232或USB接口，连接计算机专用软件控制。</w:t>
            </w:r>
          </w:p>
        </w:tc>
        <w:tc>
          <w:tcPr>
            <w:tcW w:w="38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台</w:t>
            </w:r>
          </w:p>
        </w:tc>
        <w:tc>
          <w:tcPr>
            <w:tcW w:w="350"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360" w:type="pct"/>
            <w:vAlign w:val="center"/>
          </w:tcPr>
          <w:p>
            <w:pPr>
              <w:jc w:val="center"/>
              <w:rPr>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6</w:t>
            </w:r>
          </w:p>
        </w:tc>
        <w:tc>
          <w:tcPr>
            <w:tcW w:w="674"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一拖二无线会议</w:t>
            </w:r>
          </w:p>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话筒</w:t>
            </w:r>
          </w:p>
        </w:tc>
        <w:tc>
          <w:tcPr>
            <w:tcW w:w="927" w:type="pct"/>
            <w:vAlign w:val="center"/>
          </w:tcPr>
          <w:p>
            <w:pPr>
              <w:jc w:val="center"/>
              <w:rPr>
                <w:color w:val="000000" w:themeColor="text1"/>
                <w:sz w:val="22"/>
                <w:szCs w:val="22"/>
                <w14:textFill>
                  <w14:solidFill>
                    <w14:schemeClr w14:val="tx1"/>
                  </w14:solidFill>
                </w14:textFill>
              </w:rPr>
            </w:pPr>
          </w:p>
        </w:tc>
        <w:tc>
          <w:tcPr>
            <w:tcW w:w="1906"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1、系统符合IEC60914国际标准、符合GBT15381-94与GB50799-2012国家标准；</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2、UHF频段传输信号，频率范围：500MHz-900MHz；</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3、采用稳定的PLL数位锁相环合成技术和智能数字线路，整机性能稳定性显著提高；</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4、各通道配备独有的ID号，增强抗干扰功能，支持20台同时使用（即20台接收机和80个发射器）；</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5、高保真单指向性电容咪芯，声音还原好。拾音距离可达到30-50CM；</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6、接收机背面设置2条橡胶接收天线，增强接收的信号，外观大方得体；</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7、背面设有2个平衡输出和1个混合非平衡输出，适合连接各种外置设备；</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8、灵活的鹅颈式咪杆设计，可360°全方位调节，咪杆灯环指示发言状态。</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9、话筒耗电量为80mA，使用1.5V电池（3粒）供电，可连续使用6-8小时；</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 xml:space="preserve">10、使用距离: 空旷环境：80-100米      复杂环境：50-80米            </w:t>
            </w:r>
          </w:p>
        </w:tc>
        <w:tc>
          <w:tcPr>
            <w:tcW w:w="38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套</w:t>
            </w:r>
          </w:p>
        </w:tc>
        <w:tc>
          <w:tcPr>
            <w:tcW w:w="350"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w:t>
            </w:r>
          </w:p>
        </w:tc>
        <w:tc>
          <w:tcPr>
            <w:tcW w:w="360" w:type="pct"/>
            <w:vAlign w:val="center"/>
          </w:tcPr>
          <w:p>
            <w:pPr>
              <w:jc w:val="center"/>
              <w:rPr>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7</w:t>
            </w:r>
          </w:p>
        </w:tc>
        <w:tc>
          <w:tcPr>
            <w:tcW w:w="674"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一拖二无线手持</w:t>
            </w:r>
          </w:p>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话筒</w:t>
            </w:r>
          </w:p>
        </w:tc>
        <w:tc>
          <w:tcPr>
            <w:tcW w:w="927" w:type="pct"/>
            <w:vAlign w:val="center"/>
          </w:tcPr>
          <w:p>
            <w:pPr>
              <w:jc w:val="center"/>
              <w:rPr>
                <w:color w:val="000000" w:themeColor="text1"/>
                <w:sz w:val="22"/>
                <w:szCs w:val="22"/>
                <w14:textFill>
                  <w14:solidFill>
                    <w14:schemeClr w14:val="tx1"/>
                  </w14:solidFill>
                </w14:textFill>
              </w:rPr>
            </w:pPr>
          </w:p>
        </w:tc>
        <w:tc>
          <w:tcPr>
            <w:tcW w:w="1906"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1、采用超宽频120MHz，以特性稳定而又有出色话音表现的标准设计的演出话筒；</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2、音频讯号具有平稳及宽广的频率响应曲线；</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3、音头模组分离式设计、可选配其它的音头组件；</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4、OLED屏幕，没有视觉，任何角度都能清晰显示频道及电池电量；</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5、红外线数据同步功能，能自动、快速及精确地与接收机对频；</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6、智能电池欠压预警显示</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7、动态音频压缩及自动电平控制电路</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8、使用电池：2节AA电池-可连续使用约8小时</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9、载波频段: UHF620-850 MHz</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10、振荡方式: PLL相位锁定频率合成</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11、谐波辐射: ＜-63dBm</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12、频带宽度: 40MHz</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13、最大偏移度: ±45KHz</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 xml:space="preserve">14、音头: 动圈式, 心型指向性 </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 xml:space="preserve">15、功率输出RF: 8mW /15mW </w:t>
            </w:r>
          </w:p>
        </w:tc>
        <w:tc>
          <w:tcPr>
            <w:tcW w:w="38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套</w:t>
            </w:r>
          </w:p>
        </w:tc>
        <w:tc>
          <w:tcPr>
            <w:tcW w:w="350"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360" w:type="pct"/>
            <w:vAlign w:val="center"/>
          </w:tcPr>
          <w:p>
            <w:pPr>
              <w:jc w:val="center"/>
              <w:rPr>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8</w:t>
            </w:r>
          </w:p>
        </w:tc>
        <w:tc>
          <w:tcPr>
            <w:tcW w:w="674"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调音台</w:t>
            </w:r>
          </w:p>
        </w:tc>
        <w:tc>
          <w:tcPr>
            <w:tcW w:w="927" w:type="pct"/>
            <w:vAlign w:val="center"/>
          </w:tcPr>
          <w:p>
            <w:pPr>
              <w:jc w:val="center"/>
              <w:rPr>
                <w:color w:val="000000" w:themeColor="text1"/>
                <w:sz w:val="22"/>
                <w:szCs w:val="22"/>
                <w14:textFill>
                  <w14:solidFill>
                    <w14:schemeClr w14:val="tx1"/>
                  </w14:solidFill>
                </w14:textFill>
              </w:rPr>
            </w:pPr>
          </w:p>
        </w:tc>
        <w:tc>
          <w:tcPr>
            <w:tcW w:w="1906"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1、10路XLR平衡单声道输入+2路立体声输入</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2、每通道3段均衡调节，MUTE静音开关，PFL耳机开关，平滑60MM行程推子器，</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3、2编组输出 +2组AUX输出（包括FX),</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4、1组返回，1组监听耳机输出</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5、内置48V幻象电源供电；</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6、24种DSP数字效果器,</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7、内置USB音频播放MP3；</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8、USB录音、也可连电脑播放音乐，内置蓝牙接收模块</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9、LED大显示屏清淅显示播放状态;</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10、十段三色电平灯显示信号状态</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11、XLR平衡输入话放噪声极低，超低噪音线路设计，动态余量大</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12、适用全球供电电压功率30瓦；使用灵活。具有无噪声、瞬间反应好、电耗低的特性</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 xml:space="preserve">13、产品尺寸：460X400X135MM           </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14、净重：5.4KG</w:t>
            </w:r>
          </w:p>
        </w:tc>
        <w:tc>
          <w:tcPr>
            <w:tcW w:w="38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台</w:t>
            </w:r>
          </w:p>
        </w:tc>
        <w:tc>
          <w:tcPr>
            <w:tcW w:w="350"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360" w:type="pct"/>
            <w:vAlign w:val="center"/>
          </w:tcPr>
          <w:p>
            <w:pPr>
              <w:jc w:val="center"/>
              <w:rPr>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9</w:t>
            </w:r>
          </w:p>
        </w:tc>
        <w:tc>
          <w:tcPr>
            <w:tcW w:w="674"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智能电源时序器</w:t>
            </w:r>
          </w:p>
        </w:tc>
        <w:tc>
          <w:tcPr>
            <w:tcW w:w="927" w:type="pct"/>
            <w:vAlign w:val="center"/>
          </w:tcPr>
          <w:p>
            <w:pPr>
              <w:jc w:val="center"/>
              <w:rPr>
                <w:color w:val="000000" w:themeColor="text1"/>
                <w:sz w:val="22"/>
                <w:szCs w:val="22"/>
                <w14:textFill>
                  <w14:solidFill>
                    <w14:schemeClr w14:val="tx1"/>
                  </w14:solidFill>
                </w14:textFill>
              </w:rPr>
            </w:pPr>
          </w:p>
        </w:tc>
        <w:tc>
          <w:tcPr>
            <w:tcW w:w="1906"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1、2吋彩色液晶智能显示窗，实时显示当前电压、日期时间，通道开关状态；</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2、定时开关机功能，内置时钟芯片，可根据日期时间设定，无需人为操作，让设备管理更简单；</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3、8路通道输出，每路设滤波器，过滤电流杂质。每路延时开启和关闭时间可自由设置（范围0~999S）；</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4、10组设备开关场景数据保存/调用，场景管理应用简单便捷；</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5、宽电压(90V-250V) 开关电源设计，特设欠压、超压检测及报警功能，为您的设备提供了可靠的保障，总功率6000W，单路最大功率2000W；</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6、支持多台设备级联控制，级联状态可自动检测及设置。设有触发功能；</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7、配置RS232串口、TCP/IP网口，支持外部中央控制设备控制，波特率可选择；</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8、可实现远程集中控制，每台设备自带设备编码ID检测和设置；</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9、支持面板Lock锁定功能，防止人为误操作；</w:t>
            </w:r>
          </w:p>
        </w:tc>
        <w:tc>
          <w:tcPr>
            <w:tcW w:w="38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台</w:t>
            </w:r>
          </w:p>
        </w:tc>
        <w:tc>
          <w:tcPr>
            <w:tcW w:w="350"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360" w:type="pct"/>
            <w:vAlign w:val="center"/>
          </w:tcPr>
          <w:p>
            <w:pPr>
              <w:jc w:val="center"/>
              <w:rPr>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10</w:t>
            </w:r>
          </w:p>
        </w:tc>
        <w:tc>
          <w:tcPr>
            <w:tcW w:w="674"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设备机柜</w:t>
            </w:r>
          </w:p>
        </w:tc>
        <w:tc>
          <w:tcPr>
            <w:tcW w:w="927" w:type="pct"/>
            <w:vAlign w:val="center"/>
          </w:tcPr>
          <w:p>
            <w:pPr>
              <w:jc w:val="center"/>
              <w:rPr>
                <w:color w:val="000000" w:themeColor="text1"/>
                <w:sz w:val="22"/>
                <w:szCs w:val="22"/>
                <w14:textFill>
                  <w14:solidFill>
                    <w14:schemeClr w14:val="tx1"/>
                  </w14:solidFill>
                </w14:textFill>
              </w:rPr>
            </w:pPr>
          </w:p>
        </w:tc>
        <w:tc>
          <w:tcPr>
            <w:tcW w:w="1906"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1、标准设备机柜600*600mm，</w:t>
            </w:r>
            <w:r>
              <w:rPr>
                <w:rFonts w:hint="eastAsia"/>
                <w:color w:val="000000" w:themeColor="text1"/>
                <w:sz w:val="22"/>
                <w:szCs w:val="22"/>
                <w14:textFill>
                  <w14:solidFill>
                    <w14:schemeClr w14:val="tx1"/>
                  </w14:solidFill>
                </w14:textFill>
              </w:rPr>
              <w:br w:type="textWrapping"/>
            </w:r>
            <w:r>
              <w:rPr>
                <w:rFonts w:hint="eastAsia"/>
                <w:color w:val="000000" w:themeColor="text1"/>
                <w:sz w:val="22"/>
                <w:szCs w:val="22"/>
                <w14:textFill>
                  <w14:solidFill>
                    <w14:schemeClr w14:val="tx1"/>
                  </w14:solidFill>
                </w14:textFill>
              </w:rPr>
              <w:t>2、加厚型带玻璃门机柜</w:t>
            </w:r>
          </w:p>
        </w:tc>
        <w:tc>
          <w:tcPr>
            <w:tcW w:w="38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套</w:t>
            </w:r>
          </w:p>
        </w:tc>
        <w:tc>
          <w:tcPr>
            <w:tcW w:w="350"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360" w:type="pct"/>
            <w:vAlign w:val="center"/>
          </w:tcPr>
          <w:p>
            <w:pPr>
              <w:jc w:val="center"/>
              <w:rPr>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11</w:t>
            </w:r>
          </w:p>
        </w:tc>
        <w:tc>
          <w:tcPr>
            <w:tcW w:w="674"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系统集成服务</w:t>
            </w:r>
          </w:p>
        </w:tc>
        <w:tc>
          <w:tcPr>
            <w:tcW w:w="927"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w:t>
            </w:r>
          </w:p>
        </w:tc>
        <w:tc>
          <w:tcPr>
            <w:tcW w:w="1906"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技术服务、安装调试等</w:t>
            </w:r>
          </w:p>
        </w:tc>
        <w:tc>
          <w:tcPr>
            <w:tcW w:w="385"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项</w:t>
            </w:r>
          </w:p>
        </w:tc>
        <w:tc>
          <w:tcPr>
            <w:tcW w:w="350"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w:t>
            </w:r>
          </w:p>
        </w:tc>
        <w:tc>
          <w:tcPr>
            <w:tcW w:w="360" w:type="pct"/>
            <w:vAlign w:val="center"/>
          </w:tcPr>
          <w:p>
            <w:pPr>
              <w:jc w:val="center"/>
              <w:rPr>
                <w:color w:val="000000" w:themeColor="text1"/>
                <w:sz w:val="22"/>
                <w:szCs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000" w:type="pct"/>
            <w:gridSpan w:val="7"/>
            <w:vAlign w:val="center"/>
          </w:tcPr>
          <w:p>
            <w:pPr>
              <w:jc w:val="left"/>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1996" w:type="pct"/>
            <w:gridSpan w:val="3"/>
            <w:vAlign w:val="center"/>
          </w:tcPr>
          <w:p>
            <w:pPr>
              <w:spacing w:line="2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交付时间地点</w:t>
            </w:r>
          </w:p>
        </w:tc>
        <w:tc>
          <w:tcPr>
            <w:tcW w:w="3003" w:type="pct"/>
            <w:gridSpan w:val="4"/>
            <w:vAlign w:val="center"/>
          </w:tcPr>
          <w:p>
            <w:pPr>
              <w:spacing w:line="26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交付（实施）期限：自合同签订后15个工作日内全部交货完成并验收合格。</w:t>
            </w:r>
          </w:p>
          <w:p>
            <w:pPr>
              <w:spacing w:line="26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质保期：3年，日期以具体签订合同时间为准。</w:t>
            </w:r>
          </w:p>
          <w:p>
            <w:pPr>
              <w:spacing w:line="260" w:lineRule="exact"/>
              <w:ind w:firstLine="480" w:firstLineChars="20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4"/>
                <w14:textFill>
                  <w14:solidFill>
                    <w14:schemeClr w14:val="tx1"/>
                  </w14:solidFill>
                </w14:textFill>
              </w:rPr>
              <w:t>地点：广西工商职业技术学院武鸣校区。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付款条件（进度和方式）</w:t>
            </w:r>
          </w:p>
        </w:tc>
        <w:tc>
          <w:tcPr>
            <w:tcW w:w="3003" w:type="pct"/>
            <w:gridSpan w:val="4"/>
            <w:vAlign w:val="center"/>
          </w:tcPr>
          <w:p>
            <w:pPr>
              <w:ind w:firstLine="480" w:firstLineChars="20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4"/>
                <w14:textFill>
                  <w14:solidFill>
                    <w14:schemeClr w14:val="tx1"/>
                  </w14:solidFill>
                </w14:textFill>
              </w:rPr>
              <w:t>按合同金额支付，经甲方相关工作人员验收合格后，甲方支付款项。甲方支付款项前，乙方需开具结算等额、合法、有效的税务发票，并提供与合同公司名称一致的银行对公账户。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包装和运输</w:t>
            </w:r>
          </w:p>
        </w:tc>
        <w:tc>
          <w:tcPr>
            <w:tcW w:w="3003" w:type="pct"/>
            <w:gridSpan w:val="4"/>
            <w:vAlign w:val="center"/>
          </w:tcPr>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音响设备、材料、包装、安装、运输费及后续维修费等相关费用由乙方承担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售后服务及保险等</w:t>
            </w:r>
          </w:p>
        </w:tc>
        <w:tc>
          <w:tcPr>
            <w:tcW w:w="3003" w:type="pct"/>
            <w:gridSpan w:val="4"/>
            <w:vAlign w:val="center"/>
          </w:tcPr>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1.按国家有关产品“三包”规定执行“三包”，自交货验收合格之日起所有软硬件设备、配件提供3年的免费质保及软件免费升级服务。</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2.从通过验收即日起质保期/服务期内所有由于质量问题导致的软、硬件产品故障以免费保修、免费人工及免费更换备件标准上门服务，并提供终身维护。</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3.验收不通过的必须无条件返工，经两次验收仍不通过的，甲方有权扣减全部履约保证金并终止合同，不再支付任何费用。</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4.乙方没有在规定时间内响应的，每次扣减履约保证金1000元，当履约保证金为0时，甲方有权终止合同，不再支付任何费用。</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5.乙方没有在规定时间内解决问题的，甲方有权扣减全部履约保证金并终止合同，不再支付任何费用。</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6.乙方不按时限完成工作，每逾期一天，减少项目总金额的千分之二；逾期5天不完成工作的，甲方有权扣减全部履约保证金并终止合同，不再支付任何费用。</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7.除上述外，因乙方违约造成甲方经济损失的，甲方有权追偿。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履约验收要求</w:t>
            </w:r>
          </w:p>
        </w:tc>
        <w:tc>
          <w:tcPr>
            <w:tcW w:w="3003" w:type="pct"/>
            <w:gridSpan w:val="4"/>
            <w:vAlign w:val="center"/>
          </w:tcPr>
          <w:p>
            <w:pPr>
              <w:ind w:firstLine="480" w:firstLineChars="200"/>
              <w:jc w:val="left"/>
              <w:rPr>
                <w:rFonts w:asciiTheme="minorEastAsia" w:hAnsiTheme="minorEastAsia" w:eastAsiaTheme="minorEastAsia" w:cstheme="minorEastAsia"/>
                <w:color w:val="000000" w:themeColor="text1"/>
                <w:sz w:val="22"/>
                <w:szCs w:val="22"/>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乙方按合同金额的2%支付履约保证金，合同期内无违约情况的，合同期满后无息全额退还。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其他要求</w:t>
            </w:r>
          </w:p>
        </w:tc>
        <w:tc>
          <w:tcPr>
            <w:tcW w:w="3003" w:type="pct"/>
            <w:gridSpan w:val="4"/>
            <w:vAlign w:val="center"/>
          </w:tcPr>
          <w:p>
            <w:pPr>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1、所安装音响设备能够适配青年之家、团委会议室内所有电子设备，能够实现室内音响、视频场景一体化。如不适配，则甲方有权否决。</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2、响应要求：如发生音响设备损坏，乙方在接到甲方通知后须在限定时间内（12小时）抵达现场开展工作，并承诺在抵达现场后12小时内解决问题。</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3、乙方在工作期间应遵守学院的规章制度，服从学校管理，做到安全、文明施工。</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4、乙方在工作过程中应注意现场卫生环境的整洁和设备的保护，如造成甲方原有设备损坏的，乙方应及时赔偿。</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5、乙方在工作过程中发生的安全事故由其自行承担全部责任。</w:t>
            </w:r>
          </w:p>
        </w:tc>
      </w:tr>
    </w:tbl>
    <w:p>
      <w:pPr>
        <w:pStyle w:val="15"/>
        <w:rPr>
          <w:color w:val="FF0000"/>
        </w:rPr>
      </w:pPr>
    </w:p>
    <w:p>
      <w:pPr>
        <w:pStyle w:val="15"/>
        <w:sectPr>
          <w:pgSz w:w="11906" w:h="16838"/>
          <w:pgMar w:top="1440" w:right="1080" w:bottom="1440" w:left="1080" w:header="851" w:footer="992" w:gutter="0"/>
          <w:cols w:space="425" w:num="1"/>
          <w:docGrid w:type="lines" w:linePitch="312" w:charSpace="0"/>
        </w:sectPr>
      </w:pPr>
    </w:p>
    <w:p>
      <w:pPr>
        <w:pStyle w:val="3"/>
        <w:spacing w:line="360" w:lineRule="auto"/>
        <w:ind w:firstLine="2800" w:firstLineChars="700"/>
        <w:jc w:val="left"/>
        <w:rPr>
          <w:b w:val="0"/>
          <w:bCs/>
          <w:sz w:val="40"/>
          <w:szCs w:val="22"/>
        </w:rPr>
      </w:pPr>
      <w:bookmarkStart w:id="4" w:name="_Toc17117"/>
      <w:r>
        <w:rPr>
          <w:rFonts w:hint="eastAsia"/>
          <w:b w:val="0"/>
          <w:bCs/>
          <w:sz w:val="40"/>
          <w:szCs w:val="22"/>
        </w:rPr>
        <w:t>第三章 评审办法</w:t>
      </w:r>
      <w:bookmarkEnd w:id="4"/>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一、评标方法：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1、本项目采用最低评标价法。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2、响应文件满足采购文件全部实质性要求，且总报价最低（折扣率最高）的供应商为成交候选人。</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二、成交人推荐原则：</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三、说明</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2、对于存在严重不平衡、不合理、有可能低于供应商自身成本的报价价，询价小组有权予以拒绝。</w:t>
      </w:r>
    </w:p>
    <w:p>
      <w:pPr>
        <w:spacing w:before="156" w:beforeLines="50" w:after="156" w:afterLines="50" w:line="360" w:lineRule="auto"/>
        <w:ind w:firstLine="480" w:firstLineChars="200"/>
        <w:rPr>
          <w:rFonts w:ascii="宋体" w:hAnsi="宋体"/>
          <w:b/>
          <w:sz w:val="24"/>
          <w:highlight w:val="yellow"/>
        </w:rPr>
      </w:pPr>
      <w:r>
        <w:rPr>
          <w:rFonts w:hint="eastAsia" w:ascii="宋体" w:hAnsi="宋体" w:cs="Courier New"/>
          <w:bCs/>
          <w:sz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32"/>
          <w:szCs w:val="32"/>
        </w:rPr>
      </w:pPr>
    </w:p>
    <w:p>
      <w:pPr>
        <w:pStyle w:val="3"/>
        <w:spacing w:line="360" w:lineRule="exact"/>
        <w:ind w:right="960" w:firstLine="2400" w:firstLineChars="600"/>
        <w:jc w:val="left"/>
        <w:rPr>
          <w:b w:val="0"/>
          <w:bCs/>
          <w:sz w:val="40"/>
          <w:szCs w:val="22"/>
        </w:rPr>
      </w:pPr>
      <w:bookmarkStart w:id="6" w:name="_Toc1359"/>
      <w:r>
        <w:rPr>
          <w:rFonts w:hint="eastAsia"/>
          <w:b w:val="0"/>
          <w:bCs/>
          <w:sz w:val="40"/>
          <w:szCs w:val="22"/>
        </w:rPr>
        <w:t>第四章 响应文件格式</w:t>
      </w:r>
      <w:bookmarkEnd w:id="5"/>
      <w:bookmarkEnd w:id="6"/>
    </w:p>
    <w:p>
      <w:pPr>
        <w:spacing w:line="240" w:lineRule="atLeast"/>
        <w:jc w:val="center"/>
        <w:rPr>
          <w:rFonts w:ascii="宋体" w:hAnsi="宋体"/>
          <w:b/>
          <w:sz w:val="32"/>
          <w:szCs w:val="32"/>
        </w:rPr>
      </w:pPr>
    </w:p>
    <w:p>
      <w:pPr>
        <w:spacing w:line="240" w:lineRule="atLeast"/>
        <w:jc w:val="center"/>
        <w:rPr>
          <w:rFonts w:ascii="宋体" w:hAnsi="宋体"/>
          <w:b/>
          <w:sz w:val="44"/>
          <w:szCs w:val="44"/>
        </w:rPr>
      </w:pPr>
    </w:p>
    <w:p>
      <w:pPr>
        <w:spacing w:line="240" w:lineRule="atLeast"/>
        <w:jc w:val="center"/>
        <w:rPr>
          <w:rFonts w:ascii="宋体" w:hAnsi="宋体"/>
          <w:b/>
          <w:sz w:val="44"/>
          <w:szCs w:val="44"/>
        </w:rPr>
      </w:pPr>
    </w:p>
    <w:p>
      <w:pPr>
        <w:spacing w:line="240" w:lineRule="atLeast"/>
        <w:jc w:val="center"/>
        <w:rPr>
          <w:rFonts w:ascii="宋体" w:hAnsi="宋体"/>
          <w:b/>
          <w:sz w:val="32"/>
          <w:szCs w:val="32"/>
        </w:rPr>
      </w:pPr>
      <w:r>
        <w:rPr>
          <w:rFonts w:hint="eastAsia" w:ascii="宋体" w:hAnsi="宋体"/>
          <w:b/>
          <w:sz w:val="44"/>
          <w:szCs w:val="44"/>
        </w:rPr>
        <w:t>响 应 文 件</w:t>
      </w:r>
      <w:r>
        <w:rPr>
          <w:rFonts w:hint="eastAsia" w:ascii="宋体" w:hAnsi="宋体"/>
          <w:b/>
          <w:sz w:val="32"/>
          <w:szCs w:val="32"/>
        </w:rPr>
        <w:t xml:space="preserve"> </w:t>
      </w:r>
      <w:r>
        <w:rPr>
          <w:rFonts w:hint="eastAsia" w:ascii="宋体" w:hAnsi="宋体"/>
          <w:szCs w:val="21"/>
        </w:rPr>
        <w:t>(封面)</w:t>
      </w: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tabs>
          <w:tab w:val="left" w:pos="3240"/>
        </w:tabs>
        <w:spacing w:line="360" w:lineRule="auto"/>
        <w:jc w:val="left"/>
        <w:rPr>
          <w:rFonts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pPr>
        <w:tabs>
          <w:tab w:val="left" w:pos="2625"/>
        </w:tabs>
        <w:spacing w:line="360" w:lineRule="auto"/>
        <w:jc w:val="center"/>
        <w:rPr>
          <w:rFonts w:ascii="宋体" w:hAnsi="宋体"/>
          <w:szCs w:val="21"/>
        </w:rPr>
      </w:pPr>
    </w:p>
    <w:p>
      <w:pPr>
        <w:tabs>
          <w:tab w:val="left" w:pos="2625"/>
        </w:tabs>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 xml:space="preserve">                                       供应商名称（盖章）</w:t>
      </w:r>
    </w:p>
    <w:p>
      <w:pPr>
        <w:spacing w:line="360" w:lineRule="auto"/>
        <w:ind w:firstLine="6111" w:firstLineChars="2910"/>
        <w:rPr>
          <w:rFonts w:ascii="宋体" w:hAnsi="宋体"/>
          <w:szCs w:val="21"/>
        </w:rPr>
      </w:pPr>
      <w:r>
        <w:rPr>
          <w:rFonts w:hint="eastAsia" w:ascii="宋体" w:hAnsi="宋体"/>
          <w:szCs w:val="21"/>
        </w:rPr>
        <w:t>年</w:t>
      </w:r>
      <w:r>
        <w:rPr>
          <w:rFonts w:hint="eastAsia" w:ascii="宋体" w:hAnsi="宋体" w:cs="宋体"/>
          <w:szCs w:val="21"/>
        </w:rPr>
        <w:t xml:space="preserve">    </w:t>
      </w:r>
      <w:r>
        <w:rPr>
          <w:rFonts w:hint="eastAsia" w:ascii="宋体" w:hAnsi="宋体"/>
          <w:szCs w:val="21"/>
        </w:rPr>
        <w:t>月    日</w:t>
      </w:r>
    </w:p>
    <w:p>
      <w:pPr>
        <w:spacing w:line="360" w:lineRule="exact"/>
        <w:rPr>
          <w:rFonts w:ascii="宋体" w:hAnsi="宋体"/>
          <w:b/>
          <w:szCs w:val="21"/>
        </w:rPr>
      </w:pPr>
    </w:p>
    <w:p>
      <w:pPr>
        <w:spacing w:line="360" w:lineRule="exact"/>
        <w:rPr>
          <w:rFonts w:ascii="宋体" w:hAnsi="宋体"/>
          <w:b/>
          <w:szCs w:val="21"/>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spacing w:line="360" w:lineRule="exact"/>
        <w:ind w:right="960"/>
        <w:rPr>
          <w:rFonts w:asciiTheme="majorEastAsia" w:hAnsiTheme="majorEastAsia" w:eastAsiaTheme="majorEastAsia"/>
          <w:b/>
          <w:sz w:val="32"/>
          <w:szCs w:val="32"/>
        </w:rPr>
      </w:pPr>
    </w:p>
    <w:p>
      <w:pPr>
        <w:rPr>
          <w:rFonts w:asciiTheme="majorEastAsia" w:hAnsiTheme="majorEastAsia" w:eastAsiaTheme="majorEastAsia"/>
          <w:b/>
          <w:sz w:val="32"/>
          <w:szCs w:val="32"/>
        </w:rPr>
      </w:pPr>
      <w:r>
        <w:rPr>
          <w:rFonts w:hint="eastAsia" w:asciiTheme="majorEastAsia" w:hAnsiTheme="majorEastAsia" w:eastAsiaTheme="majorEastAsia"/>
          <w:b/>
          <w:sz w:val="32"/>
          <w:szCs w:val="32"/>
        </w:rPr>
        <w:br w:type="page"/>
      </w:r>
    </w:p>
    <w:p>
      <w:pPr>
        <w:spacing w:line="360" w:lineRule="auto"/>
        <w:jc w:val="center"/>
        <w:rPr>
          <w:rFonts w:ascii="宋体" w:hAnsi="宋体" w:cs="宋体"/>
          <w:b/>
          <w:sz w:val="32"/>
          <w:szCs w:val="32"/>
        </w:rPr>
      </w:pPr>
      <w:r>
        <w:rPr>
          <w:rFonts w:hint="eastAsia" w:ascii="宋体" w:hAnsi="宋体" w:cs="宋体"/>
          <w:b/>
          <w:sz w:val="32"/>
          <w:szCs w:val="32"/>
        </w:rPr>
        <w:t>响应文件资料清单</w:t>
      </w:r>
    </w:p>
    <w:p>
      <w:pPr>
        <w:spacing w:line="360" w:lineRule="auto"/>
        <w:rPr>
          <w:rFonts w:ascii="宋体" w:hAnsi="宋体" w:cs="宋体"/>
          <w:bCs/>
          <w:sz w:val="24"/>
        </w:rPr>
      </w:pPr>
      <w:r>
        <w:rPr>
          <w:rFonts w:hint="eastAsia" w:ascii="宋体" w:hAnsi="宋体" w:cs="宋体"/>
          <w:b/>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第一部分：价格文件</w:t>
      </w:r>
    </w:p>
    <w:p>
      <w:pPr>
        <w:spacing w:line="360" w:lineRule="auto"/>
        <w:rPr>
          <w:rFonts w:ascii="宋体" w:hAnsi="宋体" w:cs="宋体"/>
          <w:b/>
          <w:bCs/>
          <w:sz w:val="24"/>
        </w:rPr>
      </w:pPr>
      <w:r>
        <w:rPr>
          <w:rFonts w:hint="eastAsia" w:ascii="宋体" w:hAnsi="宋体" w:cs="宋体"/>
          <w:b/>
          <w:bCs/>
          <w:sz w:val="24"/>
        </w:rPr>
        <w:t>1.报价表；（附件一）[必须提供]</w:t>
      </w:r>
    </w:p>
    <w:p>
      <w:pPr>
        <w:spacing w:line="360" w:lineRule="auto"/>
        <w:rPr>
          <w:rFonts w:ascii="宋体" w:hAnsi="宋体" w:cs="宋体"/>
          <w:sz w:val="24"/>
        </w:rPr>
      </w:pPr>
      <w:r>
        <w:rPr>
          <w:rFonts w:hint="eastAsia" w:ascii="宋体" w:hAnsi="宋体" w:cs="宋体"/>
          <w:sz w:val="24"/>
        </w:rPr>
        <w:t xml:space="preserve"> 第二部分：商务技术文件（以下文件要求必须提供的文件应加盖公章按要求提供，否则竞标无效。）</w:t>
      </w:r>
    </w:p>
    <w:p>
      <w:pPr>
        <w:spacing w:line="360" w:lineRule="auto"/>
        <w:rPr>
          <w:rFonts w:ascii="宋体" w:hAnsi="宋体" w:cs="宋体"/>
          <w:b/>
          <w:bCs/>
          <w:sz w:val="24"/>
        </w:rPr>
      </w:pPr>
      <w:r>
        <w:rPr>
          <w:rFonts w:hint="eastAsia" w:ascii="宋体" w:hAnsi="宋体" w:cs="宋体"/>
          <w:b/>
          <w:bCs/>
          <w:sz w:val="24"/>
        </w:rPr>
        <w:t>2.商务、服务响应、偏离情况说明表；（附件二）[必须提供]</w:t>
      </w:r>
    </w:p>
    <w:p>
      <w:pPr>
        <w:spacing w:line="360" w:lineRule="auto"/>
        <w:rPr>
          <w:rFonts w:ascii="宋体" w:hAnsi="宋体" w:cs="宋体"/>
          <w:b/>
          <w:bCs/>
          <w:sz w:val="24"/>
        </w:rPr>
      </w:pPr>
      <w:r>
        <w:rPr>
          <w:rFonts w:hint="eastAsia" w:ascii="宋体" w:hAnsi="宋体" w:cs="宋体"/>
          <w:b/>
          <w:bCs/>
          <w:sz w:val="24"/>
        </w:rPr>
        <w:t>3.法定代表人身份证正、反面复印件；（附件三）[必须提供]</w:t>
      </w:r>
    </w:p>
    <w:p>
      <w:pPr>
        <w:spacing w:line="360" w:lineRule="auto"/>
        <w:rPr>
          <w:rFonts w:ascii="宋体" w:hAnsi="宋体" w:cs="宋体"/>
          <w:b/>
          <w:bCs/>
          <w:sz w:val="24"/>
        </w:rPr>
      </w:pPr>
      <w:r>
        <w:rPr>
          <w:rFonts w:hint="eastAsia" w:ascii="宋体" w:hAnsi="宋体" w:cs="宋体"/>
          <w:b/>
          <w:bCs/>
          <w:sz w:val="24"/>
        </w:rPr>
        <w:t xml:space="preserve">4.法定代表人授权委托书原件和委托代理人身份证正、反面复印件；（附件四） [委托代理时必须提供]； </w:t>
      </w:r>
    </w:p>
    <w:p>
      <w:pPr>
        <w:spacing w:line="360" w:lineRule="auto"/>
        <w:rPr>
          <w:rFonts w:ascii="宋体" w:hAnsi="宋体" w:cs="宋体"/>
          <w:sz w:val="24"/>
        </w:rPr>
      </w:pPr>
      <w:r>
        <w:rPr>
          <w:rFonts w:hint="eastAsia" w:ascii="宋体" w:hAnsi="宋体" w:cs="宋体"/>
          <w:b/>
          <w:bCs/>
          <w:sz w:val="24"/>
        </w:rPr>
        <w:t>5.有效的主体资格证明文件复印件（附件五）：</w:t>
      </w:r>
    </w:p>
    <w:p>
      <w:pPr>
        <w:spacing w:line="360" w:lineRule="auto"/>
        <w:rPr>
          <w:rFonts w:ascii="宋体" w:hAnsi="宋体" w:cs="宋体"/>
          <w:sz w:val="24"/>
        </w:rPr>
      </w:pPr>
      <w:r>
        <w:rPr>
          <w:rFonts w:hint="eastAsia" w:ascii="宋体" w:hAnsi="宋体" w:cs="宋体"/>
          <w:sz w:val="24"/>
        </w:rPr>
        <w:t xml:space="preserve">①供应商有效的“主体资格证明文件”复印件（如营业执照、事业单位法人证书、执业许可证、自然人身份证等）；[必须提供] </w:t>
      </w:r>
    </w:p>
    <w:p>
      <w:pPr>
        <w:spacing w:line="360" w:lineRule="auto"/>
        <w:rPr>
          <w:rFonts w:ascii="宋体" w:hAnsi="宋体" w:cs="宋体"/>
          <w:b/>
          <w:bCs/>
          <w:sz w:val="24"/>
        </w:rPr>
      </w:pPr>
      <w:r>
        <w:rPr>
          <w:rFonts w:hint="eastAsia" w:ascii="宋体" w:hAnsi="宋体" w:cs="宋体"/>
          <w:sz w:val="24"/>
        </w:rPr>
        <w:t>②本项目的特定资格要求:</w:t>
      </w:r>
      <w:r>
        <w:rPr>
          <w:rFonts w:hint="eastAsia" w:ascii="宋体" w:hAnsi="宋体" w:cs="宋体"/>
          <w:b/>
          <w:bCs/>
          <w:sz w:val="24"/>
        </w:rPr>
        <w:t>[如有要求，必须提供]</w:t>
      </w:r>
    </w:p>
    <w:p>
      <w:pPr>
        <w:spacing w:line="360" w:lineRule="auto"/>
        <w:rPr>
          <w:rFonts w:ascii="宋体" w:hAnsi="宋体" w:cs="宋体"/>
          <w:b/>
          <w:bCs/>
          <w:sz w:val="24"/>
        </w:rPr>
      </w:pPr>
      <w:r>
        <w:rPr>
          <w:rFonts w:hint="eastAsia" w:ascii="宋体" w:hAnsi="宋体" w:cs="宋体"/>
          <w:b/>
          <w:bCs/>
          <w:sz w:val="24"/>
        </w:rPr>
        <w:t>6.供应商信用证明材料：（附件六）</w:t>
      </w:r>
    </w:p>
    <w:p>
      <w:pPr>
        <w:spacing w:line="360" w:lineRule="auto"/>
        <w:rPr>
          <w:rFonts w:ascii="宋体" w:hAnsi="宋体" w:cs="宋体"/>
          <w:sz w:val="24"/>
        </w:rPr>
      </w:pPr>
      <w:r>
        <w:rPr>
          <w:rFonts w:hint="eastAsia" w:ascii="宋体" w:hAnsi="宋体" w:cs="宋体"/>
          <w:sz w:val="24"/>
        </w:rPr>
        <w:t>①参加采购活动前三年内在经营活动中没有重大违法记录和不良信用记录的书面声明；[格式自拟，必须提供]</w:t>
      </w:r>
    </w:p>
    <w:p>
      <w:pPr>
        <w:spacing w:line="360" w:lineRule="auto"/>
        <w:rPr>
          <w:rFonts w:ascii="宋体" w:hAnsi="宋体" w:cs="宋体"/>
          <w:sz w:val="24"/>
        </w:rPr>
      </w:pPr>
      <w:r>
        <w:rPr>
          <w:rFonts w:hint="eastAsia" w:ascii="宋体" w:hAnsi="宋体" w:cs="宋体"/>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sz w:val="24"/>
        </w:rPr>
      </w:pPr>
      <w:r>
        <w:rPr>
          <w:rFonts w:hint="eastAsia" w:ascii="宋体" w:hAnsi="宋体" w:cs="宋体"/>
          <w:sz w:val="24"/>
        </w:rPr>
        <w:t xml:space="preserve">③在中国政府采购网（http://www.ccgp.gov.cn/）未纳入政府采购严重违法失信行为记录名单查询记录截图复印件加盖公章；[必须提供] </w:t>
      </w:r>
    </w:p>
    <w:p>
      <w:pPr>
        <w:spacing w:line="360" w:lineRule="auto"/>
        <w:rPr>
          <w:rFonts w:ascii="宋体" w:hAnsi="宋体" w:cs="宋体"/>
          <w:sz w:val="24"/>
        </w:rPr>
      </w:pPr>
      <w:r>
        <w:rPr>
          <w:rFonts w:hint="eastAsia" w:ascii="宋体" w:hAnsi="宋体" w:cs="宋体"/>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sz w:val="24"/>
        </w:rPr>
      </w:pPr>
      <w:r>
        <w:rPr>
          <w:rFonts w:hint="eastAsia" w:ascii="宋体" w:hAnsi="宋体" w:cs="宋体"/>
          <w:b/>
          <w:bCs/>
          <w:sz w:val="24"/>
        </w:rPr>
        <w:t>7.其他报价供应商认为需要提供的材料</w:t>
      </w:r>
    </w:p>
    <w:p>
      <w:pPr>
        <w:spacing w:line="360" w:lineRule="auto"/>
        <w:rPr>
          <w:rFonts w:ascii="宋体" w:hAnsi="宋体" w:cs="宋体"/>
          <w:sz w:val="24"/>
          <w:highlight w:val="yellow"/>
        </w:rPr>
      </w:pPr>
      <w:r>
        <w:rPr>
          <w:rFonts w:hint="eastAsia" w:ascii="宋体" w:hAnsi="宋体" w:cs="宋体"/>
          <w:sz w:val="24"/>
          <w:highlight w:val="yellow"/>
        </w:rPr>
        <w:t>注：（未提供格式模板的资料由供应商自拟）</w:t>
      </w:r>
    </w:p>
    <w:p>
      <w:pPr>
        <w:rPr>
          <w:rFonts w:asciiTheme="majorEastAsia" w:hAnsiTheme="majorEastAsia" w:eastAsiaTheme="majorEastAsia"/>
          <w:b/>
          <w:sz w:val="32"/>
          <w:szCs w:val="32"/>
        </w:rPr>
      </w:pPr>
      <w:r>
        <w:rPr>
          <w:rFonts w:hint="eastAsia" w:asciiTheme="majorEastAsia" w:hAnsiTheme="majorEastAsia" w:eastAsiaTheme="majorEastAsia"/>
          <w:b/>
          <w:sz w:val="32"/>
          <w:szCs w:val="32"/>
        </w:rPr>
        <w:br w:type="page"/>
      </w:r>
    </w:p>
    <w:p>
      <w:pPr>
        <w:spacing w:line="360" w:lineRule="exact"/>
        <w:ind w:right="960"/>
        <w:rPr>
          <w:rFonts w:asciiTheme="majorEastAsia" w:hAnsiTheme="majorEastAsia" w:eastAsiaTheme="majorEastAsia"/>
          <w:b/>
          <w:sz w:val="28"/>
          <w:szCs w:val="28"/>
        </w:rPr>
      </w:pPr>
      <w:r>
        <w:rPr>
          <w:rFonts w:hint="eastAsia" w:asciiTheme="majorEastAsia" w:hAnsiTheme="majorEastAsia" w:eastAsiaTheme="majorEastAsia"/>
          <w:b/>
          <w:sz w:val="28"/>
          <w:szCs w:val="28"/>
        </w:rPr>
        <w:t>附件一</w:t>
      </w:r>
    </w:p>
    <w:p>
      <w:pPr>
        <w:spacing w:line="360" w:lineRule="exact"/>
        <w:ind w:right="960"/>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报价表</w:t>
      </w:r>
    </w:p>
    <w:p>
      <w:pPr>
        <w:spacing w:line="360" w:lineRule="exact"/>
        <w:jc w:val="center"/>
        <w:rPr>
          <w:rFonts w:asciiTheme="majorEastAsia" w:hAnsiTheme="majorEastAsia" w:eastAsiaTheme="majorEastAsia"/>
          <w:b/>
          <w:color w:val="000000" w:themeColor="text1"/>
          <w:sz w:val="32"/>
          <w:szCs w:val="32"/>
          <w14:textFill>
            <w14:solidFill>
              <w14:schemeClr w14:val="tx1"/>
            </w14:solidFill>
          </w14:textFill>
        </w:rPr>
      </w:pPr>
      <w:r>
        <w:rPr>
          <w:rFonts w:hint="eastAsia" w:ascii="仿宋" w:hAnsi="仿宋" w:eastAsia="仿宋" w:cs="仿宋"/>
          <w:color w:val="000000" w:themeColor="text1"/>
          <w:kern w:val="0"/>
          <w:sz w:val="36"/>
          <w:szCs w:val="36"/>
          <w:u w:val="single"/>
          <w14:textFill>
            <w14:solidFill>
              <w14:schemeClr w14:val="tx1"/>
            </w14:solidFill>
          </w14:textFill>
        </w:rPr>
        <w:t>广西工商职业技术学院武鸣校区</w:t>
      </w:r>
      <w:r>
        <w:rPr>
          <w:rFonts w:ascii="仿宋" w:hAnsi="仿宋" w:eastAsia="仿宋" w:cs="仿宋"/>
          <w:color w:val="000000" w:themeColor="text1"/>
          <w:kern w:val="0"/>
          <w:sz w:val="36"/>
          <w:szCs w:val="36"/>
          <w:u w:val="single"/>
          <w14:textFill>
            <w14:solidFill>
              <w14:schemeClr w14:val="tx1"/>
            </w14:solidFill>
          </w14:textFill>
        </w:rPr>
        <w:t>青年之家、团委会议室音响设备</w:t>
      </w:r>
      <w:r>
        <w:rPr>
          <w:rFonts w:hint="eastAsia" w:ascii="仿宋" w:hAnsi="仿宋" w:eastAsia="仿宋" w:cs="仿宋"/>
          <w:color w:val="000000" w:themeColor="text1"/>
          <w:kern w:val="0"/>
          <w:sz w:val="36"/>
          <w:szCs w:val="36"/>
          <w:u w:val="single"/>
          <w14:textFill>
            <w14:solidFill>
              <w14:schemeClr w14:val="tx1"/>
            </w14:solidFill>
          </w14:textFill>
        </w:rPr>
        <w:t>采购项目</w:t>
      </w:r>
    </w:p>
    <w:tbl>
      <w:tblPr>
        <w:tblStyle w:val="18"/>
        <w:tblpPr w:leftFromText="180" w:rightFromText="180" w:vertAnchor="text" w:horzAnchor="page" w:tblpX="1070" w:tblpY="296"/>
        <w:tblOverlap w:val="never"/>
        <w:tblW w:w="51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54"/>
        <w:gridCol w:w="1537"/>
        <w:gridCol w:w="1827"/>
        <w:gridCol w:w="1104"/>
        <w:gridCol w:w="1042"/>
        <w:gridCol w:w="1168"/>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36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84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采购内容</w:t>
            </w:r>
          </w:p>
        </w:tc>
        <w:tc>
          <w:tcPr>
            <w:tcW w:w="742"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响应品牌型号</w:t>
            </w:r>
          </w:p>
        </w:tc>
        <w:tc>
          <w:tcPr>
            <w:tcW w:w="882"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单位</w:t>
            </w:r>
          </w:p>
        </w:tc>
        <w:tc>
          <w:tcPr>
            <w:tcW w:w="533"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数量</w:t>
            </w:r>
          </w:p>
        </w:tc>
        <w:tc>
          <w:tcPr>
            <w:tcW w:w="503"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单价（元）</w:t>
            </w:r>
          </w:p>
        </w:tc>
        <w:tc>
          <w:tcPr>
            <w:tcW w:w="564"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金额小计（元）</w:t>
            </w:r>
          </w:p>
        </w:tc>
        <w:tc>
          <w:tcPr>
            <w:tcW w:w="559"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847" w:type="pct"/>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会议声柱</w:t>
            </w:r>
          </w:p>
        </w:tc>
        <w:tc>
          <w:tcPr>
            <w:tcW w:w="742" w:type="pct"/>
            <w:vAlign w:val="center"/>
          </w:tcPr>
          <w:p>
            <w:pPr>
              <w:jc w:val="center"/>
              <w:rPr>
                <w:rFonts w:ascii="宋体" w:hAnsi="宋体" w:cs="宋体"/>
                <w:color w:val="000000" w:themeColor="text1"/>
                <w:sz w:val="24"/>
                <w14:textFill>
                  <w14:solidFill>
                    <w14:schemeClr w14:val="tx1"/>
                  </w14:solidFill>
                </w14:textFill>
              </w:rPr>
            </w:pPr>
          </w:p>
        </w:tc>
        <w:tc>
          <w:tcPr>
            <w:tcW w:w="1827"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只</w:t>
            </w:r>
          </w:p>
        </w:tc>
        <w:tc>
          <w:tcPr>
            <w:tcW w:w="1104"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4</w:t>
            </w:r>
          </w:p>
        </w:tc>
        <w:tc>
          <w:tcPr>
            <w:tcW w:w="503" w:type="pct"/>
            <w:vAlign w:val="center"/>
          </w:tcPr>
          <w:p>
            <w:pPr>
              <w:jc w:val="center"/>
              <w:rPr>
                <w:rFonts w:ascii="宋体" w:hAnsi="宋体" w:cs="宋体"/>
                <w:color w:val="000000" w:themeColor="text1"/>
                <w:sz w:val="24"/>
                <w14:textFill>
                  <w14:solidFill>
                    <w14:schemeClr w14:val="tx1"/>
                  </w14:solidFill>
                </w14:textFill>
              </w:rPr>
            </w:pPr>
          </w:p>
        </w:tc>
        <w:tc>
          <w:tcPr>
            <w:tcW w:w="564" w:type="pct"/>
            <w:vAlign w:val="center"/>
          </w:tcPr>
          <w:p>
            <w:pPr>
              <w:jc w:val="center"/>
              <w:rPr>
                <w:rFonts w:ascii="宋体" w:hAnsi="宋体" w:cs="宋体"/>
                <w:color w:val="000000" w:themeColor="text1"/>
                <w:sz w:val="24"/>
                <w14:textFill>
                  <w14:solidFill>
                    <w14:schemeClr w14:val="tx1"/>
                  </w14:solidFill>
                </w14:textFill>
              </w:rPr>
            </w:pPr>
          </w:p>
        </w:tc>
        <w:tc>
          <w:tcPr>
            <w:tcW w:w="559" w:type="pct"/>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847" w:type="pct"/>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数字功放</w:t>
            </w:r>
          </w:p>
        </w:tc>
        <w:tc>
          <w:tcPr>
            <w:tcW w:w="742" w:type="pct"/>
            <w:vAlign w:val="center"/>
          </w:tcPr>
          <w:p>
            <w:pPr>
              <w:jc w:val="center"/>
              <w:rPr>
                <w:rFonts w:ascii="宋体" w:hAnsi="宋体" w:cs="宋体"/>
                <w:color w:val="000000" w:themeColor="text1"/>
                <w:sz w:val="24"/>
                <w14:textFill>
                  <w14:solidFill>
                    <w14:schemeClr w14:val="tx1"/>
                  </w14:solidFill>
                </w14:textFill>
              </w:rPr>
            </w:pPr>
          </w:p>
        </w:tc>
        <w:tc>
          <w:tcPr>
            <w:tcW w:w="1827"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台</w:t>
            </w:r>
          </w:p>
        </w:tc>
        <w:tc>
          <w:tcPr>
            <w:tcW w:w="1104"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503" w:type="pct"/>
            <w:vAlign w:val="center"/>
          </w:tcPr>
          <w:p>
            <w:pPr>
              <w:jc w:val="center"/>
              <w:rPr>
                <w:rFonts w:ascii="宋体" w:hAnsi="宋体" w:cs="宋体"/>
                <w:color w:val="000000" w:themeColor="text1"/>
                <w:sz w:val="24"/>
                <w14:textFill>
                  <w14:solidFill>
                    <w14:schemeClr w14:val="tx1"/>
                  </w14:solidFill>
                </w14:textFill>
              </w:rPr>
            </w:pPr>
          </w:p>
        </w:tc>
        <w:tc>
          <w:tcPr>
            <w:tcW w:w="564" w:type="pct"/>
            <w:vAlign w:val="center"/>
          </w:tcPr>
          <w:p>
            <w:pPr>
              <w:jc w:val="center"/>
              <w:rPr>
                <w:rFonts w:ascii="宋体" w:hAnsi="宋体" w:cs="宋体"/>
                <w:color w:val="000000" w:themeColor="text1"/>
                <w:sz w:val="24"/>
                <w14:textFill>
                  <w14:solidFill>
                    <w14:schemeClr w14:val="tx1"/>
                  </w14:solidFill>
                </w14:textFill>
              </w:rPr>
            </w:pPr>
          </w:p>
        </w:tc>
        <w:tc>
          <w:tcPr>
            <w:tcW w:w="559" w:type="pct"/>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847" w:type="pct"/>
            <w:vAlign w:val="center"/>
          </w:tcPr>
          <w:p>
            <w:pPr>
              <w:jc w:val="center"/>
              <w:rPr>
                <w:color w:val="000000" w:themeColor="text1"/>
                <w14:textFill>
                  <w14:solidFill>
                    <w14:schemeClr w14:val="tx1"/>
                  </w14:solidFill>
                </w14:textFill>
              </w:rPr>
            </w:pPr>
            <w:r>
              <w:rPr>
                <w:rFonts w:hint="eastAsia"/>
                <w:color w:val="000000" w:themeColor="text1"/>
                <w:sz w:val="22"/>
                <w:szCs w:val="22"/>
                <w14:textFill>
                  <w14:solidFill>
                    <w14:schemeClr w14:val="tx1"/>
                  </w14:solidFill>
                </w14:textFill>
              </w:rPr>
              <w:t>全频音箱</w:t>
            </w:r>
          </w:p>
        </w:tc>
        <w:tc>
          <w:tcPr>
            <w:tcW w:w="742" w:type="pct"/>
            <w:vAlign w:val="center"/>
          </w:tcPr>
          <w:p>
            <w:pPr>
              <w:jc w:val="center"/>
              <w:rPr>
                <w:rFonts w:ascii="宋体" w:hAnsi="宋体" w:cs="宋体"/>
                <w:color w:val="000000" w:themeColor="text1"/>
                <w:sz w:val="24"/>
                <w14:textFill>
                  <w14:solidFill>
                    <w14:schemeClr w14:val="tx1"/>
                  </w14:solidFill>
                </w14:textFill>
              </w:rPr>
            </w:pPr>
          </w:p>
        </w:tc>
        <w:tc>
          <w:tcPr>
            <w:tcW w:w="1827" w:type="dxa"/>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只</w:t>
            </w:r>
          </w:p>
          <w:p>
            <w:pPr>
              <w:jc w:val="center"/>
              <w:rPr>
                <w:rFonts w:ascii="宋体" w:hAnsi="宋体" w:cs="宋体"/>
                <w:color w:val="000000" w:themeColor="text1"/>
                <w:sz w:val="24"/>
                <w14:textFill>
                  <w14:solidFill>
                    <w14:schemeClr w14:val="tx1"/>
                  </w14:solidFill>
                </w14:textFill>
              </w:rPr>
            </w:pPr>
          </w:p>
        </w:tc>
        <w:tc>
          <w:tcPr>
            <w:tcW w:w="1104"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4</w:t>
            </w:r>
          </w:p>
        </w:tc>
        <w:tc>
          <w:tcPr>
            <w:tcW w:w="503" w:type="pct"/>
            <w:vAlign w:val="center"/>
          </w:tcPr>
          <w:p>
            <w:pPr>
              <w:jc w:val="center"/>
              <w:rPr>
                <w:rFonts w:ascii="宋体" w:hAnsi="宋体" w:cs="宋体"/>
                <w:color w:val="000000" w:themeColor="text1"/>
                <w:sz w:val="24"/>
                <w14:textFill>
                  <w14:solidFill>
                    <w14:schemeClr w14:val="tx1"/>
                  </w14:solidFill>
                </w14:textFill>
              </w:rPr>
            </w:pPr>
          </w:p>
        </w:tc>
        <w:tc>
          <w:tcPr>
            <w:tcW w:w="564" w:type="pct"/>
            <w:vAlign w:val="center"/>
          </w:tcPr>
          <w:p>
            <w:pPr>
              <w:jc w:val="center"/>
              <w:rPr>
                <w:rFonts w:ascii="宋体" w:hAnsi="宋体" w:cs="宋体"/>
                <w:color w:val="000000" w:themeColor="text1"/>
                <w:sz w:val="24"/>
                <w14:textFill>
                  <w14:solidFill>
                    <w14:schemeClr w14:val="tx1"/>
                  </w14:solidFill>
                </w14:textFill>
              </w:rPr>
            </w:pPr>
          </w:p>
        </w:tc>
        <w:tc>
          <w:tcPr>
            <w:tcW w:w="559" w:type="pct"/>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847" w:type="pct"/>
            <w:vAlign w:val="center"/>
          </w:tcPr>
          <w:p>
            <w:pPr>
              <w:jc w:val="center"/>
              <w:rPr>
                <w:color w:val="000000" w:themeColor="text1"/>
                <w14:textFill>
                  <w14:solidFill>
                    <w14:schemeClr w14:val="tx1"/>
                  </w14:solidFill>
                </w14:textFill>
              </w:rPr>
            </w:pPr>
            <w:r>
              <w:rPr>
                <w:rFonts w:hint="eastAsia"/>
                <w:color w:val="000000" w:themeColor="text1"/>
                <w:sz w:val="22"/>
                <w:szCs w:val="22"/>
                <w14:textFill>
                  <w14:solidFill>
                    <w14:schemeClr w14:val="tx1"/>
                  </w14:solidFill>
                </w14:textFill>
              </w:rPr>
              <w:t>数字功放</w:t>
            </w:r>
          </w:p>
        </w:tc>
        <w:tc>
          <w:tcPr>
            <w:tcW w:w="742" w:type="pct"/>
            <w:vAlign w:val="center"/>
          </w:tcPr>
          <w:p>
            <w:pPr>
              <w:jc w:val="center"/>
              <w:rPr>
                <w:rFonts w:ascii="宋体" w:hAnsi="宋体" w:cs="宋体"/>
                <w:color w:val="000000" w:themeColor="text1"/>
                <w:sz w:val="24"/>
                <w14:textFill>
                  <w14:solidFill>
                    <w14:schemeClr w14:val="tx1"/>
                  </w14:solidFill>
                </w14:textFill>
              </w:rPr>
            </w:pPr>
          </w:p>
        </w:tc>
        <w:tc>
          <w:tcPr>
            <w:tcW w:w="1827"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台</w:t>
            </w:r>
          </w:p>
        </w:tc>
        <w:tc>
          <w:tcPr>
            <w:tcW w:w="1104"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503" w:type="pct"/>
            <w:vAlign w:val="center"/>
          </w:tcPr>
          <w:p>
            <w:pPr>
              <w:jc w:val="center"/>
              <w:rPr>
                <w:rFonts w:ascii="宋体" w:hAnsi="宋体" w:cs="宋体"/>
                <w:color w:val="000000" w:themeColor="text1"/>
                <w:sz w:val="24"/>
                <w14:textFill>
                  <w14:solidFill>
                    <w14:schemeClr w14:val="tx1"/>
                  </w14:solidFill>
                </w14:textFill>
              </w:rPr>
            </w:pPr>
          </w:p>
        </w:tc>
        <w:tc>
          <w:tcPr>
            <w:tcW w:w="564" w:type="pct"/>
            <w:vAlign w:val="center"/>
          </w:tcPr>
          <w:p>
            <w:pPr>
              <w:jc w:val="center"/>
              <w:rPr>
                <w:rFonts w:ascii="宋体" w:hAnsi="宋体" w:cs="宋体"/>
                <w:color w:val="000000" w:themeColor="text1"/>
                <w:sz w:val="24"/>
                <w14:textFill>
                  <w14:solidFill>
                    <w14:schemeClr w14:val="tx1"/>
                  </w14:solidFill>
                </w14:textFill>
              </w:rPr>
            </w:pPr>
          </w:p>
        </w:tc>
        <w:tc>
          <w:tcPr>
            <w:tcW w:w="559" w:type="pct"/>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847"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音频</w:t>
            </w:r>
          </w:p>
          <w:p>
            <w:pPr>
              <w:jc w:val="center"/>
              <w:rPr>
                <w:color w:val="000000" w:themeColor="text1"/>
                <w14:textFill>
                  <w14:solidFill>
                    <w14:schemeClr w14:val="tx1"/>
                  </w14:solidFill>
                </w14:textFill>
              </w:rPr>
            </w:pPr>
            <w:r>
              <w:rPr>
                <w:rFonts w:hint="eastAsia"/>
                <w:color w:val="000000" w:themeColor="text1"/>
                <w:sz w:val="22"/>
                <w:szCs w:val="22"/>
                <w14:textFill>
                  <w14:solidFill>
                    <w14:schemeClr w14:val="tx1"/>
                  </w14:solidFill>
                </w14:textFill>
              </w:rPr>
              <w:t>处理器</w:t>
            </w:r>
          </w:p>
        </w:tc>
        <w:tc>
          <w:tcPr>
            <w:tcW w:w="742" w:type="pct"/>
            <w:vAlign w:val="center"/>
          </w:tcPr>
          <w:p>
            <w:pPr>
              <w:jc w:val="center"/>
              <w:rPr>
                <w:rFonts w:ascii="宋体" w:hAnsi="宋体" w:cs="宋体"/>
                <w:color w:val="000000" w:themeColor="text1"/>
                <w:sz w:val="24"/>
                <w14:textFill>
                  <w14:solidFill>
                    <w14:schemeClr w14:val="tx1"/>
                  </w14:solidFill>
                </w14:textFill>
              </w:rPr>
            </w:pPr>
          </w:p>
        </w:tc>
        <w:tc>
          <w:tcPr>
            <w:tcW w:w="1827"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台</w:t>
            </w:r>
          </w:p>
        </w:tc>
        <w:tc>
          <w:tcPr>
            <w:tcW w:w="1104"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503" w:type="pct"/>
            <w:vAlign w:val="center"/>
          </w:tcPr>
          <w:p>
            <w:pPr>
              <w:jc w:val="center"/>
              <w:rPr>
                <w:rFonts w:ascii="宋体" w:hAnsi="宋体" w:cs="宋体"/>
                <w:color w:val="000000" w:themeColor="text1"/>
                <w:sz w:val="24"/>
                <w14:textFill>
                  <w14:solidFill>
                    <w14:schemeClr w14:val="tx1"/>
                  </w14:solidFill>
                </w14:textFill>
              </w:rPr>
            </w:pPr>
          </w:p>
        </w:tc>
        <w:tc>
          <w:tcPr>
            <w:tcW w:w="564" w:type="pct"/>
            <w:vAlign w:val="center"/>
          </w:tcPr>
          <w:p>
            <w:pPr>
              <w:jc w:val="center"/>
              <w:rPr>
                <w:rFonts w:ascii="宋体" w:hAnsi="宋体" w:cs="宋体"/>
                <w:color w:val="000000" w:themeColor="text1"/>
                <w:sz w:val="24"/>
                <w14:textFill>
                  <w14:solidFill>
                    <w14:schemeClr w14:val="tx1"/>
                  </w14:solidFill>
                </w14:textFill>
              </w:rPr>
            </w:pPr>
          </w:p>
        </w:tc>
        <w:tc>
          <w:tcPr>
            <w:tcW w:w="559" w:type="pct"/>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p>
        </w:tc>
        <w:tc>
          <w:tcPr>
            <w:tcW w:w="847"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一拖二无线会议</w:t>
            </w:r>
          </w:p>
          <w:p>
            <w:pPr>
              <w:jc w:val="center"/>
              <w:rPr>
                <w:color w:val="000000" w:themeColor="text1"/>
                <w14:textFill>
                  <w14:solidFill>
                    <w14:schemeClr w14:val="tx1"/>
                  </w14:solidFill>
                </w14:textFill>
              </w:rPr>
            </w:pPr>
            <w:r>
              <w:rPr>
                <w:rFonts w:hint="eastAsia"/>
                <w:color w:val="000000" w:themeColor="text1"/>
                <w:sz w:val="22"/>
                <w:szCs w:val="22"/>
                <w14:textFill>
                  <w14:solidFill>
                    <w14:schemeClr w14:val="tx1"/>
                  </w14:solidFill>
                </w14:textFill>
              </w:rPr>
              <w:t>话筒</w:t>
            </w:r>
          </w:p>
        </w:tc>
        <w:tc>
          <w:tcPr>
            <w:tcW w:w="742" w:type="pct"/>
            <w:vAlign w:val="center"/>
          </w:tcPr>
          <w:p>
            <w:pPr>
              <w:jc w:val="center"/>
              <w:rPr>
                <w:rFonts w:ascii="宋体" w:hAnsi="宋体" w:cs="宋体"/>
                <w:color w:val="000000" w:themeColor="text1"/>
                <w:sz w:val="24"/>
                <w14:textFill>
                  <w14:solidFill>
                    <w14:schemeClr w14:val="tx1"/>
                  </w14:solidFill>
                </w14:textFill>
              </w:rPr>
            </w:pPr>
          </w:p>
        </w:tc>
        <w:tc>
          <w:tcPr>
            <w:tcW w:w="1827"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套</w:t>
            </w:r>
          </w:p>
        </w:tc>
        <w:tc>
          <w:tcPr>
            <w:tcW w:w="1104"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3</w:t>
            </w:r>
          </w:p>
        </w:tc>
        <w:tc>
          <w:tcPr>
            <w:tcW w:w="503" w:type="pct"/>
            <w:vAlign w:val="center"/>
          </w:tcPr>
          <w:p>
            <w:pPr>
              <w:jc w:val="center"/>
              <w:rPr>
                <w:rFonts w:ascii="宋体" w:hAnsi="宋体" w:cs="宋体"/>
                <w:color w:val="000000" w:themeColor="text1"/>
                <w:sz w:val="24"/>
                <w14:textFill>
                  <w14:solidFill>
                    <w14:schemeClr w14:val="tx1"/>
                  </w14:solidFill>
                </w14:textFill>
              </w:rPr>
            </w:pPr>
          </w:p>
        </w:tc>
        <w:tc>
          <w:tcPr>
            <w:tcW w:w="564" w:type="pct"/>
            <w:vAlign w:val="center"/>
          </w:tcPr>
          <w:p>
            <w:pPr>
              <w:jc w:val="center"/>
              <w:rPr>
                <w:rFonts w:ascii="宋体" w:hAnsi="宋体" w:cs="宋体"/>
                <w:color w:val="000000" w:themeColor="text1"/>
                <w:sz w:val="24"/>
                <w14:textFill>
                  <w14:solidFill>
                    <w14:schemeClr w14:val="tx1"/>
                  </w14:solidFill>
                </w14:textFill>
              </w:rPr>
            </w:pPr>
          </w:p>
        </w:tc>
        <w:tc>
          <w:tcPr>
            <w:tcW w:w="559" w:type="pct"/>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p>
        </w:tc>
        <w:tc>
          <w:tcPr>
            <w:tcW w:w="847" w:type="pct"/>
            <w:vAlign w:val="center"/>
          </w:tcPr>
          <w:p>
            <w:pPr>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一拖二无线手持</w:t>
            </w:r>
          </w:p>
          <w:p>
            <w:pPr>
              <w:jc w:val="center"/>
              <w:rPr>
                <w:color w:val="000000" w:themeColor="text1"/>
                <w14:textFill>
                  <w14:solidFill>
                    <w14:schemeClr w14:val="tx1"/>
                  </w14:solidFill>
                </w14:textFill>
              </w:rPr>
            </w:pPr>
            <w:r>
              <w:rPr>
                <w:rFonts w:hint="eastAsia"/>
                <w:color w:val="000000" w:themeColor="text1"/>
                <w:sz w:val="22"/>
                <w:szCs w:val="22"/>
                <w14:textFill>
                  <w14:solidFill>
                    <w14:schemeClr w14:val="tx1"/>
                  </w14:solidFill>
                </w14:textFill>
              </w:rPr>
              <w:t>话筒</w:t>
            </w:r>
          </w:p>
        </w:tc>
        <w:tc>
          <w:tcPr>
            <w:tcW w:w="742" w:type="pct"/>
            <w:vAlign w:val="center"/>
          </w:tcPr>
          <w:p>
            <w:pPr>
              <w:jc w:val="center"/>
              <w:rPr>
                <w:rFonts w:ascii="宋体" w:hAnsi="宋体" w:cs="宋体"/>
                <w:color w:val="000000" w:themeColor="text1"/>
                <w:sz w:val="24"/>
                <w14:textFill>
                  <w14:solidFill>
                    <w14:schemeClr w14:val="tx1"/>
                  </w14:solidFill>
                </w14:textFill>
              </w:rPr>
            </w:pPr>
          </w:p>
        </w:tc>
        <w:tc>
          <w:tcPr>
            <w:tcW w:w="1827"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套</w:t>
            </w:r>
          </w:p>
        </w:tc>
        <w:tc>
          <w:tcPr>
            <w:tcW w:w="1104"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503" w:type="pct"/>
            <w:vAlign w:val="center"/>
          </w:tcPr>
          <w:p>
            <w:pPr>
              <w:jc w:val="center"/>
              <w:rPr>
                <w:rFonts w:ascii="宋体" w:hAnsi="宋体" w:cs="宋体"/>
                <w:color w:val="000000" w:themeColor="text1"/>
                <w:sz w:val="24"/>
                <w14:textFill>
                  <w14:solidFill>
                    <w14:schemeClr w14:val="tx1"/>
                  </w14:solidFill>
                </w14:textFill>
              </w:rPr>
            </w:pPr>
          </w:p>
        </w:tc>
        <w:tc>
          <w:tcPr>
            <w:tcW w:w="564" w:type="pct"/>
            <w:vAlign w:val="center"/>
          </w:tcPr>
          <w:p>
            <w:pPr>
              <w:jc w:val="center"/>
              <w:rPr>
                <w:rFonts w:ascii="宋体" w:hAnsi="宋体" w:cs="宋体"/>
                <w:color w:val="000000" w:themeColor="text1"/>
                <w:sz w:val="24"/>
                <w14:textFill>
                  <w14:solidFill>
                    <w14:schemeClr w14:val="tx1"/>
                  </w14:solidFill>
                </w14:textFill>
              </w:rPr>
            </w:pPr>
          </w:p>
        </w:tc>
        <w:tc>
          <w:tcPr>
            <w:tcW w:w="559" w:type="pct"/>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p>
        </w:tc>
        <w:tc>
          <w:tcPr>
            <w:tcW w:w="847" w:type="pct"/>
            <w:vAlign w:val="center"/>
          </w:tcPr>
          <w:p>
            <w:pPr>
              <w:jc w:val="center"/>
              <w:rPr>
                <w:color w:val="000000" w:themeColor="text1"/>
                <w14:textFill>
                  <w14:solidFill>
                    <w14:schemeClr w14:val="tx1"/>
                  </w14:solidFill>
                </w14:textFill>
              </w:rPr>
            </w:pPr>
            <w:r>
              <w:rPr>
                <w:rFonts w:hint="eastAsia"/>
                <w:color w:val="000000" w:themeColor="text1"/>
                <w:sz w:val="22"/>
                <w:szCs w:val="22"/>
                <w14:textFill>
                  <w14:solidFill>
                    <w14:schemeClr w14:val="tx1"/>
                  </w14:solidFill>
                </w14:textFill>
              </w:rPr>
              <w:t>调音台</w:t>
            </w:r>
          </w:p>
        </w:tc>
        <w:tc>
          <w:tcPr>
            <w:tcW w:w="742" w:type="pct"/>
            <w:vAlign w:val="center"/>
          </w:tcPr>
          <w:p>
            <w:pPr>
              <w:jc w:val="center"/>
              <w:rPr>
                <w:rFonts w:ascii="宋体" w:hAnsi="宋体" w:cs="宋体"/>
                <w:color w:val="000000" w:themeColor="text1"/>
                <w:sz w:val="24"/>
                <w14:textFill>
                  <w14:solidFill>
                    <w14:schemeClr w14:val="tx1"/>
                  </w14:solidFill>
                </w14:textFill>
              </w:rPr>
            </w:pPr>
          </w:p>
        </w:tc>
        <w:tc>
          <w:tcPr>
            <w:tcW w:w="1827"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台</w:t>
            </w:r>
          </w:p>
        </w:tc>
        <w:tc>
          <w:tcPr>
            <w:tcW w:w="1104"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503" w:type="pct"/>
            <w:vAlign w:val="center"/>
          </w:tcPr>
          <w:p>
            <w:pPr>
              <w:jc w:val="center"/>
              <w:rPr>
                <w:rFonts w:ascii="宋体" w:hAnsi="宋体" w:cs="宋体"/>
                <w:color w:val="000000" w:themeColor="text1"/>
                <w:sz w:val="24"/>
                <w14:textFill>
                  <w14:solidFill>
                    <w14:schemeClr w14:val="tx1"/>
                  </w14:solidFill>
                </w14:textFill>
              </w:rPr>
            </w:pPr>
          </w:p>
        </w:tc>
        <w:tc>
          <w:tcPr>
            <w:tcW w:w="564" w:type="pct"/>
            <w:vAlign w:val="center"/>
          </w:tcPr>
          <w:p>
            <w:pPr>
              <w:jc w:val="center"/>
              <w:rPr>
                <w:rFonts w:ascii="宋体" w:hAnsi="宋体" w:cs="宋体"/>
                <w:color w:val="000000" w:themeColor="text1"/>
                <w:sz w:val="24"/>
                <w14:textFill>
                  <w14:solidFill>
                    <w14:schemeClr w14:val="tx1"/>
                  </w14:solidFill>
                </w14:textFill>
              </w:rPr>
            </w:pPr>
          </w:p>
        </w:tc>
        <w:tc>
          <w:tcPr>
            <w:tcW w:w="559" w:type="pct"/>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p>
        </w:tc>
        <w:tc>
          <w:tcPr>
            <w:tcW w:w="847" w:type="pct"/>
            <w:vAlign w:val="center"/>
          </w:tcPr>
          <w:p>
            <w:pPr>
              <w:jc w:val="center"/>
              <w:rPr>
                <w:color w:val="000000" w:themeColor="text1"/>
                <w14:textFill>
                  <w14:solidFill>
                    <w14:schemeClr w14:val="tx1"/>
                  </w14:solidFill>
                </w14:textFill>
              </w:rPr>
            </w:pPr>
            <w:r>
              <w:rPr>
                <w:rFonts w:hint="eastAsia"/>
                <w:color w:val="000000" w:themeColor="text1"/>
                <w:sz w:val="22"/>
                <w:szCs w:val="22"/>
                <w14:textFill>
                  <w14:solidFill>
                    <w14:schemeClr w14:val="tx1"/>
                  </w14:solidFill>
                </w14:textFill>
              </w:rPr>
              <w:t>智能电源时序器</w:t>
            </w:r>
          </w:p>
        </w:tc>
        <w:tc>
          <w:tcPr>
            <w:tcW w:w="742" w:type="pct"/>
            <w:vAlign w:val="center"/>
          </w:tcPr>
          <w:p>
            <w:pPr>
              <w:jc w:val="center"/>
              <w:rPr>
                <w:rFonts w:ascii="宋体" w:hAnsi="宋体" w:cs="宋体"/>
                <w:color w:val="000000" w:themeColor="text1"/>
                <w:sz w:val="24"/>
                <w14:textFill>
                  <w14:solidFill>
                    <w14:schemeClr w14:val="tx1"/>
                  </w14:solidFill>
                </w14:textFill>
              </w:rPr>
            </w:pPr>
          </w:p>
        </w:tc>
        <w:tc>
          <w:tcPr>
            <w:tcW w:w="1827"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台</w:t>
            </w:r>
          </w:p>
        </w:tc>
        <w:tc>
          <w:tcPr>
            <w:tcW w:w="1104"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503" w:type="pct"/>
            <w:vAlign w:val="center"/>
          </w:tcPr>
          <w:p>
            <w:pPr>
              <w:jc w:val="center"/>
              <w:rPr>
                <w:rFonts w:ascii="宋体" w:hAnsi="宋体" w:cs="宋体"/>
                <w:color w:val="000000" w:themeColor="text1"/>
                <w:sz w:val="24"/>
                <w14:textFill>
                  <w14:solidFill>
                    <w14:schemeClr w14:val="tx1"/>
                  </w14:solidFill>
                </w14:textFill>
              </w:rPr>
            </w:pPr>
          </w:p>
        </w:tc>
        <w:tc>
          <w:tcPr>
            <w:tcW w:w="564" w:type="pct"/>
            <w:vAlign w:val="center"/>
          </w:tcPr>
          <w:p>
            <w:pPr>
              <w:jc w:val="center"/>
              <w:rPr>
                <w:rFonts w:ascii="宋体" w:hAnsi="宋体" w:cs="宋体"/>
                <w:color w:val="000000" w:themeColor="text1"/>
                <w:sz w:val="24"/>
                <w14:textFill>
                  <w14:solidFill>
                    <w14:schemeClr w14:val="tx1"/>
                  </w14:solidFill>
                </w14:textFill>
              </w:rPr>
            </w:pPr>
          </w:p>
        </w:tc>
        <w:tc>
          <w:tcPr>
            <w:tcW w:w="559" w:type="pct"/>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847" w:type="pct"/>
            <w:vAlign w:val="center"/>
          </w:tcPr>
          <w:p>
            <w:pPr>
              <w:jc w:val="center"/>
              <w:rPr>
                <w:color w:val="000000" w:themeColor="text1"/>
                <w14:textFill>
                  <w14:solidFill>
                    <w14:schemeClr w14:val="tx1"/>
                  </w14:solidFill>
                </w14:textFill>
              </w:rPr>
            </w:pPr>
            <w:r>
              <w:rPr>
                <w:rFonts w:hint="eastAsia"/>
                <w:color w:val="000000" w:themeColor="text1"/>
                <w:sz w:val="22"/>
                <w:szCs w:val="22"/>
                <w14:textFill>
                  <w14:solidFill>
                    <w14:schemeClr w14:val="tx1"/>
                  </w14:solidFill>
                </w14:textFill>
              </w:rPr>
              <w:t>设备机柜</w:t>
            </w:r>
          </w:p>
        </w:tc>
        <w:tc>
          <w:tcPr>
            <w:tcW w:w="742" w:type="pct"/>
            <w:vAlign w:val="center"/>
          </w:tcPr>
          <w:p>
            <w:pPr>
              <w:jc w:val="center"/>
              <w:rPr>
                <w:rFonts w:ascii="宋体" w:hAnsi="宋体" w:cs="宋体"/>
                <w:color w:val="000000" w:themeColor="text1"/>
                <w:sz w:val="24"/>
                <w14:textFill>
                  <w14:solidFill>
                    <w14:schemeClr w14:val="tx1"/>
                  </w14:solidFill>
                </w14:textFill>
              </w:rPr>
            </w:pPr>
          </w:p>
        </w:tc>
        <w:tc>
          <w:tcPr>
            <w:tcW w:w="1827"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套</w:t>
            </w:r>
          </w:p>
        </w:tc>
        <w:tc>
          <w:tcPr>
            <w:tcW w:w="1104"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2</w:t>
            </w:r>
          </w:p>
        </w:tc>
        <w:tc>
          <w:tcPr>
            <w:tcW w:w="503" w:type="pct"/>
            <w:vAlign w:val="center"/>
          </w:tcPr>
          <w:p>
            <w:pPr>
              <w:jc w:val="center"/>
              <w:rPr>
                <w:rFonts w:ascii="宋体" w:hAnsi="宋体" w:cs="宋体"/>
                <w:color w:val="000000" w:themeColor="text1"/>
                <w:sz w:val="24"/>
                <w14:textFill>
                  <w14:solidFill>
                    <w14:schemeClr w14:val="tx1"/>
                  </w14:solidFill>
                </w14:textFill>
              </w:rPr>
            </w:pPr>
          </w:p>
        </w:tc>
        <w:tc>
          <w:tcPr>
            <w:tcW w:w="564" w:type="pct"/>
            <w:vAlign w:val="center"/>
          </w:tcPr>
          <w:p>
            <w:pPr>
              <w:jc w:val="center"/>
              <w:rPr>
                <w:rFonts w:ascii="宋体" w:hAnsi="宋体" w:cs="宋体"/>
                <w:color w:val="000000" w:themeColor="text1"/>
                <w:sz w:val="24"/>
                <w14:textFill>
                  <w14:solidFill>
                    <w14:schemeClr w14:val="tx1"/>
                  </w14:solidFill>
                </w14:textFill>
              </w:rPr>
            </w:pPr>
          </w:p>
        </w:tc>
        <w:tc>
          <w:tcPr>
            <w:tcW w:w="559" w:type="pct"/>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7" w:type="pct"/>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847" w:type="pct"/>
            <w:vAlign w:val="center"/>
          </w:tcPr>
          <w:p>
            <w:pPr>
              <w:jc w:val="center"/>
              <w:rPr>
                <w:color w:val="000000" w:themeColor="text1"/>
                <w14:textFill>
                  <w14:solidFill>
                    <w14:schemeClr w14:val="tx1"/>
                  </w14:solidFill>
                </w14:textFill>
              </w:rPr>
            </w:pPr>
            <w:r>
              <w:rPr>
                <w:rFonts w:hint="eastAsia"/>
                <w:color w:val="000000" w:themeColor="text1"/>
                <w:sz w:val="22"/>
                <w:szCs w:val="22"/>
                <w14:textFill>
                  <w14:solidFill>
                    <w14:schemeClr w14:val="tx1"/>
                  </w14:solidFill>
                </w14:textFill>
              </w:rPr>
              <w:t>系统集成服务</w:t>
            </w:r>
          </w:p>
        </w:tc>
        <w:tc>
          <w:tcPr>
            <w:tcW w:w="742" w:type="pct"/>
            <w:vAlign w:val="center"/>
          </w:tcPr>
          <w:p>
            <w:pPr>
              <w:jc w:val="center"/>
              <w:rPr>
                <w:rFonts w:ascii="宋体" w:hAnsi="宋体" w:cs="宋体"/>
                <w:color w:val="000000" w:themeColor="text1"/>
                <w:sz w:val="24"/>
                <w14:textFill>
                  <w14:solidFill>
                    <w14:schemeClr w14:val="tx1"/>
                  </w14:solidFill>
                </w14:textFill>
              </w:rPr>
            </w:pPr>
          </w:p>
        </w:tc>
        <w:tc>
          <w:tcPr>
            <w:tcW w:w="1827"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项</w:t>
            </w:r>
          </w:p>
        </w:tc>
        <w:tc>
          <w:tcPr>
            <w:tcW w:w="1104" w:type="dxa"/>
            <w:vAlign w:val="center"/>
          </w:tcPr>
          <w:p>
            <w:pPr>
              <w:jc w:val="center"/>
              <w:rPr>
                <w:rFonts w:ascii="宋体" w:hAnsi="宋体" w:cs="宋体"/>
                <w:color w:val="000000" w:themeColor="text1"/>
                <w:sz w:val="24"/>
                <w14:textFill>
                  <w14:solidFill>
                    <w14:schemeClr w14:val="tx1"/>
                  </w14:solidFill>
                </w14:textFill>
              </w:rPr>
            </w:pPr>
            <w:r>
              <w:rPr>
                <w:rFonts w:hint="eastAsia"/>
                <w:color w:val="000000" w:themeColor="text1"/>
                <w:sz w:val="22"/>
                <w:szCs w:val="22"/>
                <w14:textFill>
                  <w14:solidFill>
                    <w14:schemeClr w14:val="tx1"/>
                  </w14:solidFill>
                </w14:textFill>
              </w:rPr>
              <w:t>1</w:t>
            </w:r>
          </w:p>
        </w:tc>
        <w:tc>
          <w:tcPr>
            <w:tcW w:w="503" w:type="pct"/>
            <w:vAlign w:val="center"/>
          </w:tcPr>
          <w:p>
            <w:pPr>
              <w:jc w:val="center"/>
              <w:rPr>
                <w:rFonts w:ascii="宋体" w:hAnsi="宋体" w:cs="宋体"/>
                <w:color w:val="000000" w:themeColor="text1"/>
                <w:sz w:val="24"/>
                <w14:textFill>
                  <w14:solidFill>
                    <w14:schemeClr w14:val="tx1"/>
                  </w14:solidFill>
                </w14:textFill>
              </w:rPr>
            </w:pPr>
          </w:p>
        </w:tc>
        <w:tc>
          <w:tcPr>
            <w:tcW w:w="564" w:type="pct"/>
            <w:vAlign w:val="center"/>
          </w:tcPr>
          <w:p>
            <w:pPr>
              <w:jc w:val="center"/>
              <w:rPr>
                <w:rFonts w:ascii="宋体" w:hAnsi="宋体" w:cs="宋体"/>
                <w:color w:val="000000" w:themeColor="text1"/>
                <w:sz w:val="24"/>
                <w14:textFill>
                  <w14:solidFill>
                    <w14:schemeClr w14:val="tx1"/>
                  </w14:solidFill>
                </w14:textFill>
              </w:rPr>
            </w:pPr>
          </w:p>
        </w:tc>
        <w:tc>
          <w:tcPr>
            <w:tcW w:w="559" w:type="pct"/>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5000" w:type="pct"/>
            <w:gridSpan w:val="8"/>
            <w:vAlign w:val="center"/>
          </w:tcPr>
          <w:p>
            <w:pPr>
              <w:jc w:val="left"/>
              <w:rPr>
                <w:rFonts w:ascii="宋体" w:hAnsi="宋体" w:cs="宋体"/>
                <w:color w:val="000000" w:themeColor="text1"/>
                <w:sz w:val="24"/>
                <w14:textFill>
                  <w14:solidFill>
                    <w14:schemeClr w14:val="tx1"/>
                  </w14:solidFill>
                </w14:textFill>
              </w:rPr>
            </w:pPr>
          </w:p>
          <w:p>
            <w:pPr>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金额合计：人民币大写：</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w:t>
            </w:r>
          </w:p>
          <w:p>
            <w:pPr>
              <w:spacing w:line="26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5000" w:type="pct"/>
            <w:gridSpan w:val="8"/>
            <w:vAlign w:val="center"/>
          </w:tcPr>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注：1.总报价不能超过最高限价和项目预算，否则报价无效。报价含税、运输费、人工费等所有费用。</w:t>
            </w:r>
          </w:p>
          <w:p>
            <w:pPr>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2.所有价格用人民币表示，单位为元，精确到小数点后两位数。</w:t>
            </w:r>
          </w:p>
          <w:p>
            <w:pPr>
              <w:spacing w:line="260" w:lineRule="exact"/>
              <w:rPr>
                <w:rFonts w:ascii="宋体" w:hAnsi="宋体" w:cs="宋体"/>
                <w:color w:val="000000" w:themeColor="text1"/>
                <w:sz w:val="24"/>
                <w14:textFill>
                  <w14:solidFill>
                    <w14:schemeClr w14:val="tx1"/>
                  </w14:solidFill>
                </w14:textFill>
              </w:rPr>
            </w:pPr>
          </w:p>
        </w:tc>
      </w:tr>
    </w:tbl>
    <w:p>
      <w:pPr>
        <w:rPr>
          <w:rFonts w:ascii="宋体" w:hAnsi="宋体" w:cs="宋体"/>
          <w:color w:val="000000" w:themeColor="text1"/>
          <w:sz w:val="24"/>
          <w14:textFill>
            <w14:solidFill>
              <w14:schemeClr w14:val="tx1"/>
            </w14:solidFill>
          </w14:textFill>
        </w:rPr>
      </w:pPr>
    </w:p>
    <w:p>
      <w:pPr>
        <w:spacing w:line="500" w:lineRule="exact"/>
        <w:ind w:right="1518"/>
        <w:jc w:val="right"/>
        <w:rPr>
          <w:rFonts w:ascii="宋体" w:hAnsi="宋体" w:cs="宋体"/>
          <w:color w:val="000000" w:themeColor="text1"/>
          <w:sz w:val="24"/>
          <w14:textFill>
            <w14:solidFill>
              <w14:schemeClr w14:val="tx1"/>
            </w14:solidFill>
          </w14:textFill>
        </w:rPr>
      </w:pPr>
    </w:p>
    <w:p>
      <w:pPr>
        <w:spacing w:line="500" w:lineRule="exact"/>
        <w:ind w:right="1518"/>
        <w:jc w:val="righ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供应商（盖章）：</w:t>
      </w:r>
    </w:p>
    <w:p>
      <w:pPr>
        <w:spacing w:line="500" w:lineRule="exact"/>
        <w:ind w:right="1518"/>
        <w:jc w:val="righ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委托代理人（签字）：</w:t>
      </w:r>
    </w:p>
    <w:p>
      <w:pPr>
        <w:ind w:right="1540"/>
        <w:jc w:val="right"/>
        <w:rPr>
          <w:rFonts w:ascii="宋体" w:hAnsi="宋体"/>
          <w:color w:val="000000" w:themeColor="text1"/>
          <w:kern w:val="0"/>
          <w:sz w:val="28"/>
          <w:szCs w:val="28"/>
          <w14:textFill>
            <w14:solidFill>
              <w14:schemeClr w14:val="tx1"/>
            </w14:solidFill>
          </w14:textFill>
        </w:rPr>
      </w:pPr>
      <w:r>
        <w:rPr>
          <w:rFonts w:hint="eastAsia" w:ascii="宋体" w:hAnsi="宋体"/>
          <w:color w:val="000000" w:themeColor="text1"/>
          <w:kern w:val="0"/>
          <w:sz w:val="28"/>
          <w:szCs w:val="28"/>
          <w14:textFill>
            <w14:solidFill>
              <w14:schemeClr w14:val="tx1"/>
            </w14:solidFill>
          </w14:textFill>
        </w:rPr>
        <w:t>联系方式：</w:t>
      </w:r>
    </w:p>
    <w:p>
      <w:pPr>
        <w:ind w:right="1540"/>
        <w:jc w:val="right"/>
        <w:rPr>
          <w:rFonts w:ascii="宋体" w:hAnsi="宋体"/>
          <w:color w:val="000000" w:themeColor="text1"/>
          <w:kern w:val="0"/>
          <w:sz w:val="28"/>
          <w:szCs w:val="28"/>
          <w14:textFill>
            <w14:solidFill>
              <w14:schemeClr w14:val="tx1"/>
            </w14:solidFill>
          </w14:textFill>
        </w:rPr>
      </w:pPr>
      <w:r>
        <w:rPr>
          <w:rFonts w:hint="eastAsia" w:ascii="宋体" w:hAnsi="宋体"/>
          <w:color w:val="000000" w:themeColor="text1"/>
          <w:kern w:val="0"/>
          <w:sz w:val="28"/>
          <w:szCs w:val="28"/>
          <w14:textFill>
            <w14:solidFill>
              <w14:schemeClr w14:val="tx1"/>
            </w14:solidFill>
          </w14:textFill>
        </w:rPr>
        <w:t>时    间 ：</w:t>
      </w:r>
    </w:p>
    <w:p>
      <w:pPr>
        <w:spacing w:line="300" w:lineRule="auto"/>
        <w:jc w:val="left"/>
        <w:rPr>
          <w:rFonts w:asciiTheme="majorEastAsia" w:hAnsiTheme="majorEastAsia" w:eastAsiaTheme="majorEastAsia"/>
          <w:b/>
          <w:color w:val="000000" w:themeColor="text1"/>
          <w:sz w:val="36"/>
          <w:szCs w:val="36"/>
          <w14:textFill>
            <w14:solidFill>
              <w14:schemeClr w14:val="tx1"/>
            </w14:solidFill>
          </w14:textFill>
        </w:rPr>
      </w:pPr>
    </w:p>
    <w:p>
      <w:pPr>
        <w:rPr>
          <w:rFonts w:asciiTheme="majorEastAsia" w:hAnsiTheme="majorEastAsia" w:eastAsiaTheme="majorEastAsia"/>
          <w:b/>
          <w:color w:val="000000" w:themeColor="text1"/>
          <w:sz w:val="28"/>
          <w:szCs w:val="28"/>
          <w14:textFill>
            <w14:solidFill>
              <w14:schemeClr w14:val="tx1"/>
            </w14:solidFill>
          </w14:textFill>
        </w:rPr>
      </w:pPr>
      <w:r>
        <w:rPr>
          <w:rFonts w:hint="eastAsia" w:asciiTheme="majorEastAsia" w:hAnsiTheme="majorEastAsia" w:eastAsiaTheme="majorEastAsia"/>
          <w:b/>
          <w:color w:val="000000" w:themeColor="text1"/>
          <w:sz w:val="28"/>
          <w:szCs w:val="28"/>
          <w14:textFill>
            <w14:solidFill>
              <w14:schemeClr w14:val="tx1"/>
            </w14:solidFill>
          </w14:textFill>
        </w:rPr>
        <w:br w:type="page"/>
      </w:r>
    </w:p>
    <w:p>
      <w:pPr>
        <w:spacing w:line="300" w:lineRule="auto"/>
        <w:jc w:val="left"/>
        <w:rPr>
          <w:rFonts w:asciiTheme="majorEastAsia" w:hAnsiTheme="majorEastAsia" w:eastAsiaTheme="majorEastAsia"/>
          <w:b/>
          <w:color w:val="000000" w:themeColor="text1"/>
          <w:sz w:val="36"/>
          <w:szCs w:val="36"/>
          <w14:textFill>
            <w14:solidFill>
              <w14:schemeClr w14:val="tx1"/>
            </w14:solidFill>
          </w14:textFill>
        </w:rPr>
      </w:pPr>
      <w:r>
        <w:rPr>
          <w:rFonts w:hint="eastAsia" w:asciiTheme="majorEastAsia" w:hAnsiTheme="majorEastAsia" w:eastAsiaTheme="majorEastAsia"/>
          <w:b/>
          <w:color w:val="000000" w:themeColor="text1"/>
          <w:sz w:val="28"/>
          <w:szCs w:val="28"/>
          <w14:textFill>
            <w14:solidFill>
              <w14:schemeClr w14:val="tx1"/>
            </w14:solidFill>
          </w14:textFill>
        </w:rPr>
        <w:t>附件二</w:t>
      </w:r>
    </w:p>
    <w:p>
      <w:pPr>
        <w:spacing w:line="300" w:lineRule="auto"/>
        <w:jc w:val="center"/>
        <w:rPr>
          <w:rFonts w:ascii="宋体" w:hAnsi="宋体"/>
          <w:b/>
          <w:sz w:val="32"/>
          <w:szCs w:val="32"/>
        </w:rPr>
      </w:pPr>
      <w:r>
        <w:rPr>
          <w:rFonts w:hint="eastAsia" w:ascii="宋体" w:hAnsi="宋体"/>
          <w:b/>
          <w:sz w:val="32"/>
          <w:szCs w:val="32"/>
        </w:rPr>
        <w:t>商务、服务响应、偏离情况说明表</w:t>
      </w:r>
    </w:p>
    <w:p>
      <w:pPr>
        <w:spacing w:line="300" w:lineRule="auto"/>
        <w:rPr>
          <w:rFonts w:ascii="宋体" w:hAnsi="宋体"/>
          <w:szCs w:val="21"/>
        </w:rPr>
      </w:pPr>
    </w:p>
    <w:p>
      <w:pPr>
        <w:spacing w:line="500" w:lineRule="exact"/>
        <w:rPr>
          <w:rFonts w:ascii="宋体" w:hAnsi="宋体"/>
          <w:szCs w:val="21"/>
          <w:u w:val="single"/>
        </w:rPr>
      </w:pPr>
      <w:r>
        <w:rPr>
          <w:rFonts w:hint="eastAsia" w:ascii="宋体" w:hAnsi="宋体"/>
          <w:szCs w:val="21"/>
        </w:rPr>
        <w:t>采购项目名称:</w:t>
      </w:r>
    </w:p>
    <w:p>
      <w:pPr>
        <w:spacing w:line="500" w:lineRule="exact"/>
        <w:rPr>
          <w:rFonts w:ascii="宋体" w:hAnsi="宋体"/>
          <w:szCs w:val="21"/>
          <w:u w:val="single"/>
        </w:rPr>
      </w:pPr>
      <w:r>
        <w:rPr>
          <w:rFonts w:hint="eastAsia" w:ascii="宋体" w:hAnsi="宋体"/>
          <w:szCs w:val="21"/>
        </w:rPr>
        <w:t>采购项目编号:</w:t>
      </w:r>
    </w:p>
    <w:tbl>
      <w:tblPr>
        <w:tblStyle w:val="18"/>
        <w:tblW w:w="4996"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56"/>
        <w:gridCol w:w="2074"/>
        <w:gridCol w:w="2080"/>
        <w:gridCol w:w="1328"/>
        <w:gridCol w:w="1953"/>
        <w:gridCol w:w="1027"/>
        <w:gridCol w:w="103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229" w:type="pct"/>
            <w:vAlign w:val="center"/>
          </w:tcPr>
          <w:p>
            <w:pPr>
              <w:jc w:val="center"/>
            </w:pPr>
            <w:r>
              <w:rPr>
                <w:rFonts w:hint="eastAsia"/>
              </w:rPr>
              <w:t>序号</w:t>
            </w:r>
          </w:p>
        </w:tc>
        <w:tc>
          <w:tcPr>
            <w:tcW w:w="1042" w:type="pct"/>
            <w:vAlign w:val="center"/>
          </w:tcPr>
          <w:p>
            <w:pPr>
              <w:jc w:val="center"/>
              <w:rPr>
                <w:rFonts w:hint="default" w:eastAsia="宋体"/>
                <w:lang w:val="en-US" w:eastAsia="zh-CN"/>
              </w:rPr>
            </w:pPr>
            <w:r>
              <w:rPr>
                <w:rFonts w:hint="eastAsia"/>
                <w:lang w:val="en-US" w:eastAsia="zh-CN"/>
              </w:rPr>
              <w:t>货物/服务名称</w:t>
            </w:r>
          </w:p>
        </w:tc>
        <w:tc>
          <w:tcPr>
            <w:tcW w:w="1045" w:type="pct"/>
            <w:vAlign w:val="center"/>
          </w:tcPr>
          <w:p>
            <w:pPr>
              <w:jc w:val="center"/>
            </w:pPr>
            <w:r>
              <w:rPr>
                <w:rFonts w:hint="eastAsia"/>
              </w:rPr>
              <w:t>竞争性磋商文件要求</w:t>
            </w:r>
          </w:p>
        </w:tc>
        <w:tc>
          <w:tcPr>
            <w:tcW w:w="667" w:type="pct"/>
            <w:vAlign w:val="center"/>
          </w:tcPr>
          <w:p>
            <w:pPr>
              <w:jc w:val="center"/>
            </w:pPr>
            <w:r>
              <w:rPr>
                <w:rFonts w:hint="eastAsia"/>
                <w:lang w:val="en-US" w:eastAsia="zh-CN"/>
              </w:rPr>
              <w:t>响应品牌及型号</w:t>
            </w:r>
          </w:p>
        </w:tc>
        <w:tc>
          <w:tcPr>
            <w:tcW w:w="981" w:type="pct"/>
            <w:vAlign w:val="center"/>
          </w:tcPr>
          <w:p>
            <w:pPr>
              <w:jc w:val="center"/>
            </w:pPr>
            <w:r>
              <w:rPr>
                <w:rFonts w:hint="eastAsia"/>
              </w:rPr>
              <w:t>竞争性磋商响应文件具体响应</w:t>
            </w:r>
          </w:p>
        </w:tc>
        <w:tc>
          <w:tcPr>
            <w:tcW w:w="516" w:type="pct"/>
            <w:vAlign w:val="center"/>
          </w:tcPr>
          <w:p>
            <w:pPr>
              <w:jc w:val="center"/>
              <w:rPr>
                <w:rFonts w:hint="default" w:eastAsia="宋体"/>
                <w:lang w:val="en-US" w:eastAsia="zh-CN"/>
              </w:rPr>
            </w:pPr>
            <w:r>
              <w:rPr>
                <w:rFonts w:hint="eastAsia"/>
              </w:rPr>
              <w:t>响应/偏离</w:t>
            </w:r>
          </w:p>
        </w:tc>
        <w:tc>
          <w:tcPr>
            <w:tcW w:w="517" w:type="pct"/>
            <w:vAlign w:val="center"/>
          </w:tcPr>
          <w:p>
            <w:pPr>
              <w:jc w:val="center"/>
              <w:rPr>
                <w:rFonts w:hint="eastAsia" w:eastAsia="宋体"/>
                <w:lang w:val="en-US" w:eastAsia="zh-CN"/>
              </w:rPr>
            </w:pPr>
            <w:r>
              <w:rPr>
                <w:rFonts w:hint="eastAsia"/>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000" w:type="pct"/>
            <w:gridSpan w:val="7"/>
            <w:vAlign w:val="center"/>
          </w:tcPr>
          <w:p>
            <w:pPr>
              <w:jc w:val="center"/>
              <w:rPr>
                <w:rFonts w:hint="eastAsia"/>
                <w:lang w:eastAsia="zh-CN"/>
              </w:rPr>
            </w:pPr>
            <w:r>
              <w:rPr>
                <w:rFonts w:hint="eastAsia"/>
                <w:lang w:eastAsia="zh-CN"/>
              </w:rPr>
              <w:t>技术</w:t>
            </w:r>
            <w:r>
              <w:rPr>
                <w:rFonts w:hint="eastAsia"/>
                <w:lang w:val="en-US" w:eastAsia="zh-CN"/>
              </w:rPr>
              <w:t>/</w:t>
            </w:r>
            <w:r>
              <w:rPr>
                <w:rFonts w:hint="eastAsia"/>
              </w:rPr>
              <w:t>服务部分（项目需要及技术需求）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229" w:type="pct"/>
            <w:vAlign w:val="center"/>
          </w:tcPr>
          <w:p>
            <w:pPr>
              <w:jc w:val="center"/>
            </w:pPr>
            <w:r>
              <w:rPr>
                <w:rFonts w:hint="eastAsia"/>
              </w:rPr>
              <w:t>1</w:t>
            </w:r>
          </w:p>
        </w:tc>
        <w:tc>
          <w:tcPr>
            <w:tcW w:w="1042" w:type="pct"/>
            <w:vAlign w:val="center"/>
          </w:tcPr>
          <w:p>
            <w:pPr>
              <w:jc w:val="center"/>
              <w:rPr>
                <w:rFonts w:ascii="宋体" w:hAnsi="宋体"/>
              </w:rPr>
            </w:pPr>
          </w:p>
        </w:tc>
        <w:tc>
          <w:tcPr>
            <w:tcW w:w="1045" w:type="pct"/>
            <w:vAlign w:val="center"/>
          </w:tcPr>
          <w:p>
            <w:pPr>
              <w:jc w:val="center"/>
              <w:rPr>
                <w:rFonts w:ascii="宋体" w:hAnsi="宋体"/>
              </w:rPr>
            </w:pPr>
          </w:p>
        </w:tc>
        <w:tc>
          <w:tcPr>
            <w:tcW w:w="667" w:type="pct"/>
          </w:tcPr>
          <w:p/>
        </w:tc>
        <w:tc>
          <w:tcPr>
            <w:tcW w:w="981" w:type="pct"/>
            <w:vAlign w:val="center"/>
          </w:tcPr>
          <w:p>
            <w:pPr>
              <w:jc w:val="center"/>
            </w:pPr>
          </w:p>
        </w:tc>
        <w:tc>
          <w:tcPr>
            <w:tcW w:w="516" w:type="pct"/>
            <w:vAlign w:val="center"/>
          </w:tcPr>
          <w:p>
            <w:pPr>
              <w:jc w:val="center"/>
            </w:pPr>
          </w:p>
        </w:tc>
        <w:tc>
          <w:tcPr>
            <w:tcW w:w="517"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r>
              <w:rPr>
                <w:rFonts w:hint="eastAsia"/>
              </w:rPr>
              <w:t>2</w:t>
            </w:r>
          </w:p>
        </w:tc>
        <w:tc>
          <w:tcPr>
            <w:tcW w:w="1042" w:type="pct"/>
            <w:vAlign w:val="center"/>
          </w:tcPr>
          <w:p>
            <w:pPr>
              <w:tabs>
                <w:tab w:val="left" w:pos="180"/>
                <w:tab w:val="left" w:pos="1620"/>
              </w:tabs>
              <w:spacing w:line="400" w:lineRule="exact"/>
              <w:jc w:val="center"/>
              <w:rPr>
                <w:rFonts w:ascii="宋体" w:hAnsi="宋体"/>
                <w:szCs w:val="21"/>
              </w:rPr>
            </w:pPr>
          </w:p>
        </w:tc>
        <w:tc>
          <w:tcPr>
            <w:tcW w:w="1045" w:type="pct"/>
            <w:vAlign w:val="center"/>
          </w:tcPr>
          <w:p>
            <w:pPr>
              <w:tabs>
                <w:tab w:val="left" w:pos="180"/>
                <w:tab w:val="left" w:pos="1620"/>
              </w:tabs>
              <w:spacing w:line="400" w:lineRule="exact"/>
              <w:jc w:val="center"/>
              <w:rPr>
                <w:rFonts w:ascii="宋体" w:hAnsi="宋体"/>
                <w:szCs w:val="21"/>
              </w:rPr>
            </w:pPr>
          </w:p>
        </w:tc>
        <w:tc>
          <w:tcPr>
            <w:tcW w:w="667" w:type="pct"/>
          </w:tcPr>
          <w:p/>
        </w:tc>
        <w:tc>
          <w:tcPr>
            <w:tcW w:w="981" w:type="pct"/>
            <w:vAlign w:val="center"/>
          </w:tcPr>
          <w:p>
            <w:pPr>
              <w:jc w:val="center"/>
            </w:pPr>
          </w:p>
        </w:tc>
        <w:tc>
          <w:tcPr>
            <w:tcW w:w="516" w:type="pct"/>
            <w:vAlign w:val="center"/>
          </w:tcPr>
          <w:p>
            <w:pPr>
              <w:jc w:val="center"/>
            </w:pPr>
          </w:p>
        </w:tc>
        <w:tc>
          <w:tcPr>
            <w:tcW w:w="517"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r>
              <w:rPr>
                <w:rFonts w:hint="eastAsia"/>
              </w:rPr>
              <w:t>3</w:t>
            </w:r>
          </w:p>
        </w:tc>
        <w:tc>
          <w:tcPr>
            <w:tcW w:w="1042" w:type="pct"/>
            <w:vAlign w:val="center"/>
          </w:tcPr>
          <w:p>
            <w:pPr>
              <w:spacing w:line="400" w:lineRule="exact"/>
              <w:jc w:val="center"/>
              <w:rPr>
                <w:rFonts w:ascii="宋体" w:hAnsi="宋体"/>
                <w:szCs w:val="21"/>
              </w:rPr>
            </w:pPr>
          </w:p>
        </w:tc>
        <w:tc>
          <w:tcPr>
            <w:tcW w:w="1045" w:type="pct"/>
            <w:vAlign w:val="center"/>
          </w:tcPr>
          <w:p>
            <w:pPr>
              <w:spacing w:line="400" w:lineRule="exact"/>
              <w:jc w:val="center"/>
              <w:rPr>
                <w:rFonts w:ascii="宋体" w:hAnsi="宋体"/>
                <w:szCs w:val="21"/>
              </w:rPr>
            </w:pPr>
          </w:p>
        </w:tc>
        <w:tc>
          <w:tcPr>
            <w:tcW w:w="667" w:type="pct"/>
          </w:tcPr>
          <w:p/>
        </w:tc>
        <w:tc>
          <w:tcPr>
            <w:tcW w:w="981" w:type="pct"/>
            <w:vAlign w:val="center"/>
          </w:tcPr>
          <w:p>
            <w:pPr>
              <w:jc w:val="center"/>
            </w:pPr>
          </w:p>
        </w:tc>
        <w:tc>
          <w:tcPr>
            <w:tcW w:w="516" w:type="pct"/>
            <w:vAlign w:val="center"/>
          </w:tcPr>
          <w:p>
            <w:pPr>
              <w:jc w:val="center"/>
            </w:pPr>
          </w:p>
        </w:tc>
        <w:tc>
          <w:tcPr>
            <w:tcW w:w="517"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r>
              <w:rPr>
                <w:rFonts w:hint="eastAsia"/>
              </w:rPr>
              <w:t>4</w:t>
            </w:r>
          </w:p>
        </w:tc>
        <w:tc>
          <w:tcPr>
            <w:tcW w:w="1042" w:type="pct"/>
            <w:vAlign w:val="center"/>
          </w:tcPr>
          <w:p>
            <w:pPr>
              <w:spacing w:line="400" w:lineRule="exact"/>
              <w:jc w:val="center"/>
              <w:rPr>
                <w:rFonts w:ascii="宋体" w:hAnsi="宋体"/>
                <w:szCs w:val="21"/>
              </w:rPr>
            </w:pPr>
          </w:p>
        </w:tc>
        <w:tc>
          <w:tcPr>
            <w:tcW w:w="1045" w:type="pct"/>
            <w:vAlign w:val="center"/>
          </w:tcPr>
          <w:p>
            <w:pPr>
              <w:spacing w:line="400" w:lineRule="exact"/>
              <w:jc w:val="center"/>
              <w:rPr>
                <w:rFonts w:ascii="宋体" w:hAnsi="宋体"/>
                <w:szCs w:val="21"/>
              </w:rPr>
            </w:pPr>
          </w:p>
        </w:tc>
        <w:tc>
          <w:tcPr>
            <w:tcW w:w="667" w:type="pct"/>
          </w:tcPr>
          <w:p/>
        </w:tc>
        <w:tc>
          <w:tcPr>
            <w:tcW w:w="981" w:type="pct"/>
            <w:vAlign w:val="center"/>
          </w:tcPr>
          <w:p>
            <w:pPr>
              <w:jc w:val="center"/>
            </w:pPr>
          </w:p>
        </w:tc>
        <w:tc>
          <w:tcPr>
            <w:tcW w:w="516" w:type="pct"/>
            <w:vAlign w:val="center"/>
          </w:tcPr>
          <w:p>
            <w:pPr>
              <w:jc w:val="center"/>
            </w:pPr>
          </w:p>
        </w:tc>
        <w:tc>
          <w:tcPr>
            <w:tcW w:w="517"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r>
              <w:rPr>
                <w:rFonts w:hint="eastAsia"/>
              </w:rPr>
              <w:t>…</w:t>
            </w:r>
          </w:p>
        </w:tc>
        <w:tc>
          <w:tcPr>
            <w:tcW w:w="1042" w:type="pct"/>
            <w:vAlign w:val="center"/>
          </w:tcPr>
          <w:p>
            <w:pPr>
              <w:jc w:val="center"/>
            </w:pPr>
          </w:p>
        </w:tc>
        <w:tc>
          <w:tcPr>
            <w:tcW w:w="1045" w:type="pct"/>
            <w:vAlign w:val="center"/>
          </w:tcPr>
          <w:p>
            <w:pPr>
              <w:jc w:val="center"/>
            </w:pPr>
          </w:p>
        </w:tc>
        <w:tc>
          <w:tcPr>
            <w:tcW w:w="667" w:type="pct"/>
          </w:tcPr>
          <w:p/>
        </w:tc>
        <w:tc>
          <w:tcPr>
            <w:tcW w:w="981" w:type="pct"/>
            <w:vAlign w:val="center"/>
          </w:tcPr>
          <w:p>
            <w:pPr>
              <w:jc w:val="center"/>
            </w:pPr>
          </w:p>
        </w:tc>
        <w:tc>
          <w:tcPr>
            <w:tcW w:w="516" w:type="pct"/>
            <w:vAlign w:val="center"/>
          </w:tcPr>
          <w:p>
            <w:pPr>
              <w:jc w:val="center"/>
            </w:pPr>
          </w:p>
        </w:tc>
        <w:tc>
          <w:tcPr>
            <w:tcW w:w="517"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000" w:type="pct"/>
            <w:gridSpan w:val="7"/>
            <w:vAlign w:val="center"/>
          </w:tcPr>
          <w:p>
            <w:pPr>
              <w:jc w:val="center"/>
              <w:rPr>
                <w:rFonts w:hint="eastAsia"/>
              </w:rPr>
            </w:pPr>
            <w:bookmarkStart w:id="7" w:name="_Toc476258666"/>
            <w:bookmarkStart w:id="8" w:name="_Toc476258667"/>
            <w:r>
              <w:rPr>
                <w:rFonts w:hint="eastAsia"/>
              </w:rPr>
              <w:t>商务部分</w:t>
            </w:r>
            <w:bookmarkEnd w:id="7"/>
            <w:r>
              <w:rPr>
                <w:rFonts w:hint="eastAsia"/>
              </w:rPr>
              <w:t>（商务要求表）</w:t>
            </w:r>
            <w:bookmarkEnd w:id="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bookmarkStart w:id="9" w:name="_Toc476258668"/>
            <w:r>
              <w:rPr>
                <w:rFonts w:hint="eastAsia"/>
              </w:rPr>
              <w:t>1</w:t>
            </w:r>
            <w:bookmarkEnd w:id="9"/>
          </w:p>
        </w:tc>
        <w:tc>
          <w:tcPr>
            <w:tcW w:w="1042" w:type="pct"/>
            <w:vAlign w:val="center"/>
          </w:tcPr>
          <w:p>
            <w:pPr>
              <w:tabs>
                <w:tab w:val="left" w:pos="180"/>
                <w:tab w:val="left" w:pos="1620"/>
              </w:tabs>
              <w:spacing w:line="400" w:lineRule="exact"/>
              <w:jc w:val="center"/>
              <w:rPr>
                <w:rFonts w:hint="eastAsia" w:ascii="宋体" w:hAnsi="宋体" w:eastAsia="宋体" w:cs="Times New Roman"/>
                <w:kern w:val="2"/>
                <w:sz w:val="21"/>
                <w:szCs w:val="21"/>
                <w:lang w:val="en-US" w:eastAsia="zh-CN" w:bidi="ar-SA"/>
              </w:rPr>
            </w:pPr>
            <w:r>
              <w:rPr>
                <w:rFonts w:hint="eastAsia" w:ascii="宋体" w:hAnsi="宋体"/>
                <w:szCs w:val="21"/>
              </w:rPr>
              <w:t>交付（实施）的时间（期限）和地点（范围）</w:t>
            </w:r>
          </w:p>
        </w:tc>
        <w:tc>
          <w:tcPr>
            <w:tcW w:w="1045" w:type="pct"/>
            <w:vAlign w:val="center"/>
          </w:tcPr>
          <w:p>
            <w:pPr>
              <w:tabs>
                <w:tab w:val="left" w:pos="180"/>
                <w:tab w:val="left" w:pos="1620"/>
              </w:tabs>
              <w:spacing w:line="400" w:lineRule="exact"/>
              <w:jc w:val="center"/>
              <w:rPr>
                <w:rFonts w:ascii="宋体" w:hAnsi="宋体" w:eastAsia="宋体" w:cs="Times New Roman"/>
                <w:kern w:val="2"/>
                <w:sz w:val="21"/>
                <w:szCs w:val="21"/>
                <w:lang w:val="en-US" w:eastAsia="zh-CN" w:bidi="ar-SA"/>
              </w:rPr>
            </w:pPr>
          </w:p>
        </w:tc>
        <w:tc>
          <w:tcPr>
            <w:tcW w:w="667" w:type="pct"/>
            <w:vAlign w:val="center"/>
          </w:tcPr>
          <w:p>
            <w:pPr>
              <w:jc w:val="center"/>
              <w:rPr>
                <w:rFonts w:hint="default" w:eastAsia="宋体"/>
                <w:lang w:val="en-US" w:eastAsia="zh-CN"/>
              </w:rPr>
            </w:pPr>
            <w:r>
              <w:rPr>
                <w:rFonts w:hint="eastAsia"/>
                <w:lang w:val="en-US" w:eastAsia="zh-CN"/>
              </w:rPr>
              <w:t>/</w:t>
            </w:r>
          </w:p>
        </w:tc>
        <w:tc>
          <w:tcPr>
            <w:tcW w:w="981" w:type="pct"/>
            <w:vAlign w:val="center"/>
          </w:tcPr>
          <w:p/>
        </w:tc>
        <w:tc>
          <w:tcPr>
            <w:tcW w:w="516" w:type="pct"/>
            <w:vAlign w:val="center"/>
          </w:tcPr>
          <w:p/>
        </w:tc>
        <w:tc>
          <w:tcPr>
            <w:tcW w:w="517" w:type="pct"/>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bookmarkStart w:id="10" w:name="_Toc476258669"/>
            <w:r>
              <w:rPr>
                <w:rFonts w:hint="eastAsia"/>
              </w:rPr>
              <w:t>2</w:t>
            </w:r>
            <w:bookmarkEnd w:id="10"/>
          </w:p>
        </w:tc>
        <w:tc>
          <w:tcPr>
            <w:tcW w:w="1042" w:type="pct"/>
            <w:vAlign w:val="center"/>
          </w:tcPr>
          <w:p>
            <w:pPr>
              <w:spacing w:line="400" w:lineRule="exact"/>
              <w:jc w:val="center"/>
              <w:rPr>
                <w:rFonts w:hint="eastAsia" w:ascii="宋体" w:hAnsi="宋体" w:eastAsia="宋体" w:cs="Times New Roman"/>
                <w:kern w:val="2"/>
                <w:sz w:val="21"/>
                <w:szCs w:val="21"/>
                <w:lang w:val="en-US" w:eastAsia="zh-CN" w:bidi="ar-SA"/>
              </w:rPr>
            </w:pPr>
            <w:r>
              <w:rPr>
                <w:rFonts w:hint="eastAsia" w:ascii="宋体" w:hAnsi="宋体"/>
                <w:color w:val="auto"/>
                <w:szCs w:val="21"/>
                <w:highlight w:val="none"/>
              </w:rPr>
              <w:t>付款条件（进度和方式）</w:t>
            </w:r>
          </w:p>
        </w:tc>
        <w:tc>
          <w:tcPr>
            <w:tcW w:w="1045" w:type="pct"/>
            <w:vAlign w:val="center"/>
          </w:tcPr>
          <w:p>
            <w:pPr>
              <w:spacing w:line="400" w:lineRule="exact"/>
              <w:jc w:val="center"/>
              <w:rPr>
                <w:rFonts w:ascii="宋体" w:hAnsi="宋体" w:eastAsia="宋体" w:cs="Times New Roman"/>
                <w:kern w:val="2"/>
                <w:sz w:val="21"/>
                <w:szCs w:val="21"/>
                <w:lang w:val="en-US" w:eastAsia="zh-CN" w:bidi="ar-SA"/>
              </w:rPr>
            </w:pPr>
          </w:p>
        </w:tc>
        <w:tc>
          <w:tcPr>
            <w:tcW w:w="667" w:type="pct"/>
            <w:vAlign w:val="center"/>
          </w:tcPr>
          <w:p>
            <w:pPr>
              <w:jc w:val="center"/>
              <w:rPr>
                <w:rFonts w:hint="eastAsia" w:eastAsia="宋体"/>
                <w:lang w:val="en-US" w:eastAsia="zh-CN"/>
              </w:rPr>
            </w:pPr>
            <w:r>
              <w:rPr>
                <w:rFonts w:hint="eastAsia"/>
                <w:lang w:val="en-US" w:eastAsia="zh-CN"/>
              </w:rPr>
              <w:t>/</w:t>
            </w:r>
          </w:p>
        </w:tc>
        <w:tc>
          <w:tcPr>
            <w:tcW w:w="981" w:type="pct"/>
            <w:vAlign w:val="center"/>
          </w:tcPr>
          <w:p/>
        </w:tc>
        <w:tc>
          <w:tcPr>
            <w:tcW w:w="516" w:type="pct"/>
            <w:vAlign w:val="center"/>
          </w:tcPr>
          <w:p/>
        </w:tc>
        <w:tc>
          <w:tcPr>
            <w:tcW w:w="517" w:type="pct"/>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bookmarkStart w:id="11" w:name="_Toc476258670"/>
            <w:r>
              <w:rPr>
                <w:rFonts w:hint="eastAsia"/>
              </w:rPr>
              <w:t>3</w:t>
            </w:r>
            <w:bookmarkEnd w:id="11"/>
          </w:p>
        </w:tc>
        <w:tc>
          <w:tcPr>
            <w:tcW w:w="1042" w:type="pct"/>
            <w:vAlign w:val="center"/>
          </w:tcPr>
          <w:p>
            <w:pPr>
              <w:spacing w:line="400" w:lineRule="exact"/>
              <w:jc w:val="center"/>
              <w:rPr>
                <w:rFonts w:hint="eastAsia" w:ascii="宋体" w:hAnsi="宋体" w:eastAsia="宋体" w:cs="Times New Roman"/>
                <w:kern w:val="2"/>
                <w:sz w:val="21"/>
                <w:szCs w:val="21"/>
                <w:lang w:val="en-US" w:eastAsia="zh-CN" w:bidi="ar-SA"/>
              </w:rPr>
            </w:pPr>
            <w:r>
              <w:rPr>
                <w:rFonts w:hint="eastAsia" w:ascii="宋体" w:hAnsi="宋体"/>
                <w:color w:val="auto"/>
                <w:szCs w:val="21"/>
                <w:highlight w:val="none"/>
              </w:rPr>
              <w:t>包装和运输</w:t>
            </w:r>
          </w:p>
        </w:tc>
        <w:tc>
          <w:tcPr>
            <w:tcW w:w="1045" w:type="pct"/>
            <w:vAlign w:val="center"/>
          </w:tcPr>
          <w:p>
            <w:pPr>
              <w:spacing w:line="400" w:lineRule="exact"/>
              <w:jc w:val="center"/>
              <w:rPr>
                <w:rFonts w:ascii="宋体" w:hAnsi="宋体" w:eastAsia="宋体" w:cs="Times New Roman"/>
                <w:kern w:val="2"/>
                <w:sz w:val="21"/>
                <w:szCs w:val="21"/>
                <w:lang w:val="en-US" w:eastAsia="zh-CN" w:bidi="ar-SA"/>
              </w:rPr>
            </w:pPr>
          </w:p>
        </w:tc>
        <w:tc>
          <w:tcPr>
            <w:tcW w:w="667" w:type="pct"/>
            <w:vAlign w:val="center"/>
          </w:tcPr>
          <w:p>
            <w:pPr>
              <w:jc w:val="center"/>
              <w:rPr>
                <w:rFonts w:hint="eastAsia" w:eastAsia="宋体"/>
                <w:lang w:val="en-US" w:eastAsia="zh-CN"/>
              </w:rPr>
            </w:pPr>
            <w:r>
              <w:rPr>
                <w:rFonts w:hint="eastAsia"/>
                <w:lang w:val="en-US" w:eastAsia="zh-CN"/>
              </w:rPr>
              <w:t>/</w:t>
            </w:r>
          </w:p>
        </w:tc>
        <w:tc>
          <w:tcPr>
            <w:tcW w:w="981" w:type="pct"/>
            <w:vAlign w:val="center"/>
          </w:tcPr>
          <w:p/>
        </w:tc>
        <w:tc>
          <w:tcPr>
            <w:tcW w:w="516" w:type="pct"/>
            <w:vAlign w:val="center"/>
          </w:tcPr>
          <w:p/>
        </w:tc>
        <w:tc>
          <w:tcPr>
            <w:tcW w:w="517" w:type="pct"/>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9" w:type="pct"/>
            <w:vAlign w:val="center"/>
          </w:tcPr>
          <w:p>
            <w:pPr>
              <w:jc w:val="center"/>
              <w:rPr>
                <w:rFonts w:hint="eastAsia" w:eastAsia="宋体"/>
                <w:lang w:val="en-US" w:eastAsia="zh-CN"/>
              </w:rPr>
            </w:pPr>
            <w:r>
              <w:rPr>
                <w:rFonts w:hint="eastAsia"/>
                <w:lang w:val="en-US" w:eastAsia="zh-CN"/>
              </w:rPr>
              <w:t>4</w:t>
            </w:r>
          </w:p>
        </w:tc>
        <w:tc>
          <w:tcPr>
            <w:tcW w:w="1042" w:type="pct"/>
            <w:vAlign w:val="center"/>
          </w:tcPr>
          <w:p>
            <w:pPr>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履约验收要求</w:t>
            </w:r>
          </w:p>
        </w:tc>
        <w:tc>
          <w:tcPr>
            <w:tcW w:w="1045" w:type="pct"/>
            <w:vAlign w:val="center"/>
          </w:tcPr>
          <w:p>
            <w:pPr>
              <w:jc w:val="center"/>
              <w:rPr>
                <w:rFonts w:hint="eastAsia" w:ascii="宋体" w:hAnsi="宋体" w:eastAsia="宋体" w:cs="Times New Roman"/>
                <w:color w:val="auto"/>
                <w:kern w:val="2"/>
                <w:sz w:val="21"/>
                <w:szCs w:val="21"/>
                <w:highlight w:val="none"/>
                <w:lang w:val="en-US" w:eastAsia="zh-CN" w:bidi="ar-SA"/>
              </w:rPr>
            </w:pPr>
          </w:p>
        </w:tc>
        <w:tc>
          <w:tcPr>
            <w:tcW w:w="667" w:type="pct"/>
            <w:vAlign w:val="center"/>
          </w:tcPr>
          <w:p>
            <w:pPr>
              <w:jc w:val="center"/>
              <w:rPr>
                <w:rFonts w:hint="eastAsia" w:eastAsia="宋体"/>
                <w:lang w:val="en-US" w:eastAsia="zh-CN"/>
              </w:rPr>
            </w:pPr>
            <w:r>
              <w:rPr>
                <w:rFonts w:hint="eastAsia"/>
                <w:lang w:val="en-US" w:eastAsia="zh-CN"/>
              </w:rPr>
              <w:t>/</w:t>
            </w:r>
          </w:p>
        </w:tc>
        <w:tc>
          <w:tcPr>
            <w:tcW w:w="981" w:type="pct"/>
            <w:tcBorders>
              <w:right w:val="single" w:color="auto" w:sz="4" w:space="0"/>
            </w:tcBorders>
            <w:vAlign w:val="center"/>
          </w:tcPr>
          <w:p/>
        </w:tc>
        <w:tc>
          <w:tcPr>
            <w:tcW w:w="516" w:type="pct"/>
            <w:tcBorders>
              <w:left w:val="single" w:color="auto" w:sz="4" w:space="0"/>
            </w:tcBorders>
            <w:vAlign w:val="center"/>
          </w:tcPr>
          <w:p/>
        </w:tc>
        <w:tc>
          <w:tcPr>
            <w:tcW w:w="517" w:type="pct"/>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9" w:type="pct"/>
            <w:vAlign w:val="center"/>
          </w:tcPr>
          <w:p>
            <w:pPr>
              <w:jc w:val="center"/>
              <w:rPr>
                <w:rFonts w:hint="eastAsia"/>
              </w:rPr>
            </w:pPr>
            <w:bookmarkStart w:id="12" w:name="_Toc476258671"/>
            <w:r>
              <w:rPr>
                <w:rFonts w:hint="eastAsia"/>
              </w:rPr>
              <w:t>…</w:t>
            </w:r>
            <w:bookmarkEnd w:id="12"/>
          </w:p>
        </w:tc>
        <w:tc>
          <w:tcPr>
            <w:tcW w:w="1042" w:type="pct"/>
            <w:vAlign w:val="center"/>
          </w:tcPr>
          <w:p>
            <w:pPr>
              <w:rPr>
                <w:rFonts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（以上项目按磋商文件第三章逐项填列，本表可清除）</w:t>
            </w:r>
          </w:p>
        </w:tc>
        <w:tc>
          <w:tcPr>
            <w:tcW w:w="1045" w:type="pct"/>
            <w:vAlign w:val="center"/>
          </w:tcPr>
          <w:p/>
        </w:tc>
        <w:tc>
          <w:tcPr>
            <w:tcW w:w="667" w:type="pct"/>
            <w:vAlign w:val="center"/>
          </w:tcPr>
          <w:p/>
        </w:tc>
        <w:tc>
          <w:tcPr>
            <w:tcW w:w="981" w:type="pct"/>
            <w:tcBorders>
              <w:right w:val="single" w:color="auto" w:sz="4" w:space="0"/>
            </w:tcBorders>
            <w:vAlign w:val="center"/>
          </w:tcPr>
          <w:p/>
        </w:tc>
        <w:tc>
          <w:tcPr>
            <w:tcW w:w="516" w:type="pct"/>
            <w:tcBorders>
              <w:left w:val="single" w:color="auto" w:sz="4" w:space="0"/>
            </w:tcBorders>
            <w:vAlign w:val="center"/>
          </w:tcPr>
          <w:p/>
        </w:tc>
        <w:tc>
          <w:tcPr>
            <w:tcW w:w="517" w:type="pct"/>
            <w:tcBorders>
              <w:left w:val="single" w:color="auto" w:sz="4" w:space="0"/>
            </w:tcBorders>
            <w:vAlign w:val="center"/>
          </w:tcPr>
          <w:p/>
        </w:tc>
      </w:tr>
    </w:tbl>
    <w:p>
      <w:pPr>
        <w:adjustRightInd w:val="0"/>
        <w:snapToGrid w:val="0"/>
        <w:spacing w:line="360" w:lineRule="exact"/>
        <w:rPr>
          <w:rFonts w:ascii="宋体" w:hAnsi="宋体"/>
          <w:b/>
          <w:szCs w:val="21"/>
        </w:rPr>
      </w:pPr>
      <w:r>
        <w:rPr>
          <w:rFonts w:hint="eastAsia" w:ascii="宋体" w:hAnsi="宋体"/>
          <w:b/>
          <w:szCs w:val="21"/>
        </w:rPr>
        <w:t>说明：</w:t>
      </w:r>
      <w:r>
        <w:rPr>
          <w:rFonts w:hint="eastAsia" w:hAnsi="宋体"/>
          <w:b/>
        </w:rPr>
        <w:t>1、应写明竞</w:t>
      </w:r>
      <w:r>
        <w:rPr>
          <w:rFonts w:hint="eastAsia" w:ascii="宋体" w:hAnsi="宋体"/>
          <w:b/>
          <w:szCs w:val="21"/>
        </w:rPr>
        <w:t>争性磋商响应文件对</w:t>
      </w:r>
      <w:r>
        <w:rPr>
          <w:rFonts w:hint="eastAsia"/>
          <w:b/>
        </w:rPr>
        <w:t>商务</w:t>
      </w:r>
      <w:r>
        <w:rPr>
          <w:rFonts w:hint="eastAsia" w:hAnsi="宋体"/>
          <w:b/>
        </w:rPr>
        <w:t>与服务要求的</w:t>
      </w:r>
      <w:r>
        <w:rPr>
          <w:rFonts w:hint="eastAsia" w:ascii="宋体" w:hAnsi="宋体"/>
          <w:b/>
          <w:szCs w:val="21"/>
        </w:rPr>
        <w:t>响应和偏离情况</w:t>
      </w:r>
      <w:r>
        <w:rPr>
          <w:rFonts w:hint="eastAsia"/>
          <w:b/>
          <w:bCs/>
          <w:szCs w:val="21"/>
        </w:rPr>
        <w:t>；</w:t>
      </w:r>
    </w:p>
    <w:p>
      <w:pPr>
        <w:pStyle w:val="11"/>
        <w:spacing w:line="400" w:lineRule="exact"/>
        <w:rPr>
          <w:rFonts w:ascii="宋体" w:hAnsi="宋体" w:eastAsia="宋体"/>
          <w:b/>
          <w:sz w:val="21"/>
          <w:szCs w:val="21"/>
        </w:rPr>
      </w:pPr>
      <w:r>
        <w:rPr>
          <w:rFonts w:hint="eastAsia" w:ascii="宋体" w:hAnsi="宋体" w:eastAsia="宋体"/>
          <w:b/>
          <w:sz w:val="21"/>
          <w:szCs w:val="21"/>
        </w:rPr>
        <w:t xml:space="preserve">2、应对照竞争性磋商文件“第三章 </w:t>
      </w:r>
      <w:r>
        <w:rPr>
          <w:rFonts w:hint="eastAsia" w:hAnsi="宋体"/>
          <w:b/>
          <w:sz w:val="21"/>
          <w:szCs w:val="21"/>
          <w:lang w:eastAsia="zh-CN"/>
        </w:rPr>
        <w:t>采购需求</w:t>
      </w:r>
      <w:r>
        <w:rPr>
          <w:rFonts w:hint="eastAsia" w:ascii="宋体" w:hAnsi="宋体" w:eastAsia="宋体"/>
          <w:b/>
          <w:sz w:val="21"/>
          <w:szCs w:val="21"/>
        </w:rPr>
        <w:t>”</w:t>
      </w:r>
      <w:r>
        <w:rPr>
          <w:rFonts w:hint="eastAsia" w:ascii="宋体" w:hAnsi="宋体" w:eastAsia="宋体"/>
          <w:b/>
          <w:sz w:val="21"/>
          <w:szCs w:val="21"/>
          <w:lang w:eastAsia="zh-CN"/>
        </w:rPr>
        <w:t>中</w:t>
      </w:r>
      <w:r>
        <w:rPr>
          <w:rFonts w:hint="eastAsia" w:ascii="宋体" w:hAnsi="宋体" w:eastAsia="宋体"/>
          <w:b/>
          <w:sz w:val="21"/>
          <w:szCs w:val="21"/>
        </w:rPr>
        <w:t>采购项目技术规格、参数及要求，逐条说明所提供货物和服务已对竞争性磋商文件的商务、服务做出了实质性的响应，并申明商务、技术条文的响应和偏离。如果仅注明“符合”、“满足”或简单复制竞争性磋商文件要求，将导致磋商被拒绝。特别对有具体商务、服务参数要求的，磋商供应商必须提供对应的详细应答。</w:t>
      </w:r>
    </w:p>
    <w:p>
      <w:pPr>
        <w:pStyle w:val="11"/>
        <w:spacing w:line="360" w:lineRule="exact"/>
        <w:rPr>
          <w:rFonts w:hAnsi="宋体"/>
        </w:rPr>
      </w:pPr>
    </w:p>
    <w:p>
      <w:pPr>
        <w:pStyle w:val="11"/>
        <w:spacing w:line="500" w:lineRule="exact"/>
        <w:ind w:firstLine="4200" w:firstLineChars="2000"/>
        <w:rPr>
          <w:rFonts w:hAnsi="宋体"/>
          <w:u w:val="single"/>
        </w:rPr>
      </w:pPr>
      <w:r>
        <w:rPr>
          <w:rFonts w:hint="eastAsia" w:hAnsi="宋体"/>
        </w:rPr>
        <w:t>法定代表人或委托代理人（签字</w:t>
      </w:r>
      <w:r>
        <w:rPr>
          <w:rFonts w:hint="eastAsia" w:hAnsi="宋体"/>
          <w:lang w:val="en-US" w:eastAsia="zh-CN"/>
        </w:rPr>
        <w:t>或盖章</w:t>
      </w:r>
      <w:r>
        <w:rPr>
          <w:rFonts w:hint="eastAsia" w:hAnsi="宋体"/>
        </w:rPr>
        <w:t>）:</w:t>
      </w:r>
      <w:r>
        <w:rPr>
          <w:rFonts w:hint="eastAsia" w:hAnsi="宋体"/>
          <w:u w:val="single"/>
        </w:rPr>
        <w:t xml:space="preserve">            </w:t>
      </w:r>
    </w:p>
    <w:p>
      <w:pPr>
        <w:spacing w:line="500" w:lineRule="exact"/>
        <w:ind w:firstLine="4200" w:firstLineChars="2000"/>
        <w:rPr>
          <w:rFonts w:ascii="宋体" w:hAnsi="宋体" w:cs="Courier New"/>
          <w:szCs w:val="21"/>
          <w:u w:val="single"/>
        </w:rPr>
      </w:pPr>
      <w:r>
        <w:rPr>
          <w:rFonts w:hint="eastAsia" w:ascii="宋体" w:hAnsi="宋体" w:cs="Courier New"/>
          <w:szCs w:val="21"/>
        </w:rPr>
        <w:t>磋商供应商名称（盖章）：</w:t>
      </w:r>
      <w:r>
        <w:rPr>
          <w:rFonts w:hint="eastAsia" w:ascii="宋体" w:hAnsi="宋体" w:cs="Courier New"/>
          <w:szCs w:val="21"/>
          <w:u w:val="single"/>
        </w:rPr>
        <w:t xml:space="preserve">                     </w:t>
      </w:r>
    </w:p>
    <w:p>
      <w:pPr>
        <w:spacing w:line="500" w:lineRule="exact"/>
        <w:ind w:firstLine="4200" w:firstLineChars="2000"/>
        <w:rPr>
          <w:rFonts w:asciiTheme="majorEastAsia" w:hAnsiTheme="majorEastAsia" w:eastAsiaTheme="majorEastAsia"/>
          <w:bCs/>
          <w:color w:val="000000" w:themeColor="text1"/>
          <w:szCs w:val="21"/>
          <w14:textFill>
            <w14:solidFill>
              <w14:schemeClr w14:val="tx1"/>
            </w14:solidFill>
          </w14:textFill>
        </w:rPr>
      </w:pPr>
      <w:r>
        <w:rPr>
          <w:rFonts w:hint="eastAsia" w:hAnsi="宋体"/>
        </w:rPr>
        <w:t>日期：</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月</w:t>
      </w:r>
      <w:r>
        <w:rPr>
          <w:rFonts w:hint="eastAsia" w:hAnsi="宋体"/>
          <w:u w:val="single"/>
        </w:rPr>
        <w:t xml:space="preserve">    </w:t>
      </w:r>
      <w:r>
        <w:rPr>
          <w:rFonts w:hint="eastAsia" w:hAnsi="宋体"/>
        </w:rPr>
        <w:t>日</w:t>
      </w:r>
      <w:r>
        <w:rPr>
          <w:rFonts w:hint="eastAsia" w:asciiTheme="majorEastAsia" w:hAnsiTheme="majorEastAsia" w:eastAsiaTheme="majorEastAsia"/>
          <w:bCs/>
          <w:color w:val="000000" w:themeColor="text1"/>
          <w:szCs w:val="21"/>
          <w14:textFill>
            <w14:solidFill>
              <w14:schemeClr w14:val="tx1"/>
            </w14:solidFill>
          </w14:textFill>
        </w:rPr>
        <w:t xml:space="preserve"> </w:t>
      </w:r>
    </w:p>
    <w:p>
      <w:pPr>
        <w:spacing w:line="520" w:lineRule="exact"/>
        <w:jc w:val="left"/>
        <w:rPr>
          <w:rFonts w:ascii="宋体" w:hAnsi="宋体"/>
          <w:b/>
          <w:color w:val="000000" w:themeColor="text1"/>
          <w:sz w:val="28"/>
          <w:szCs w:val="28"/>
          <w14:textFill>
            <w14:solidFill>
              <w14:schemeClr w14:val="tx1"/>
            </w14:solidFill>
          </w14:textFill>
        </w:rPr>
      </w:pPr>
      <w:r>
        <w:rPr>
          <w:rFonts w:hint="eastAsia" w:asciiTheme="majorEastAsia" w:hAnsiTheme="majorEastAsia" w:eastAsiaTheme="majorEastAsia"/>
          <w:b/>
          <w:color w:val="000000" w:themeColor="text1"/>
          <w:sz w:val="24"/>
          <w14:textFill>
            <w14:solidFill>
              <w14:schemeClr w14:val="tx1"/>
            </w14:solidFill>
          </w14:textFill>
        </w:rPr>
        <w:t xml:space="preserve">      </w:t>
      </w:r>
      <w:r>
        <w:rPr>
          <w:rFonts w:hint="eastAsia" w:ascii="宋体" w:hAnsi="宋体"/>
          <w:b/>
          <w:color w:val="000000" w:themeColor="text1"/>
          <w:sz w:val="28"/>
          <w:szCs w:val="28"/>
          <w14:textFill>
            <w14:solidFill>
              <w14:schemeClr w14:val="tx1"/>
            </w14:solidFill>
          </w14:textFill>
        </w:rPr>
        <w:t>附件三</w:t>
      </w:r>
    </w:p>
    <w:p>
      <w:pPr>
        <w:spacing w:line="300" w:lineRule="auto"/>
        <w:rPr>
          <w:rFonts w:ascii="宋体" w:hAnsi="宋体"/>
          <w:b/>
          <w:color w:val="000000" w:themeColor="text1"/>
          <w:szCs w:val="21"/>
          <w14:textFill>
            <w14:solidFill>
              <w14:schemeClr w14:val="tx1"/>
            </w14:solidFill>
          </w14:textFill>
        </w:rPr>
      </w:pPr>
    </w:p>
    <w:p>
      <w:pPr>
        <w:pStyle w:val="11"/>
        <w:spacing w:line="440" w:lineRule="exact"/>
        <w:jc w:val="center"/>
        <w:rPr>
          <w:rFonts w:ascii="方正小标宋简体" w:hAnsi="方正小标宋简体" w:eastAsia="方正小标宋简体" w:cs="方正小标宋简体"/>
          <w:bCs/>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14:textFill>
            <w14:solidFill>
              <w14:schemeClr w14:val="tx1"/>
            </w14:solidFill>
          </w14:textFill>
        </w:rPr>
        <w:t>法定代表人身份证明书（格式）</w:t>
      </w:r>
    </w:p>
    <w:p>
      <w:pPr>
        <w:pStyle w:val="11"/>
        <w:spacing w:line="460" w:lineRule="exact"/>
        <w:ind w:firstLine="542" w:firstLineChars="257"/>
        <w:jc w:val="center"/>
        <w:rPr>
          <w:b/>
          <w:color w:val="000000" w:themeColor="text1"/>
          <w14:textFill>
            <w14:solidFill>
              <w14:schemeClr w14:val="tx1"/>
            </w14:solidFill>
          </w14:textFill>
        </w:rPr>
      </w:pPr>
    </w:p>
    <w:p>
      <w:pPr>
        <w:spacing w:line="500" w:lineRule="exact"/>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竞 标 人：</w:t>
      </w:r>
      <w:r>
        <w:rPr>
          <w:rFonts w:hint="eastAsia" w:ascii="仿宋" w:hAnsi="仿宋" w:eastAsia="仿宋" w:cs="仿宋"/>
          <w:color w:val="000000" w:themeColor="text1"/>
          <w:szCs w:val="21"/>
          <w:u w:val="single"/>
          <w14:textFill>
            <w14:solidFill>
              <w14:schemeClr w14:val="tx1"/>
            </w14:solidFill>
          </w14:textFill>
        </w:rPr>
        <w:t xml:space="preserve">                                                        </w:t>
      </w:r>
    </w:p>
    <w:p>
      <w:pPr>
        <w:spacing w:line="500" w:lineRule="exact"/>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单位性质：</w:t>
      </w:r>
      <w:r>
        <w:rPr>
          <w:rFonts w:hint="eastAsia" w:ascii="仿宋" w:hAnsi="仿宋" w:eastAsia="仿宋" w:cs="仿宋"/>
          <w:color w:val="000000" w:themeColor="text1"/>
          <w:szCs w:val="21"/>
          <w:u w:val="single"/>
          <w14:textFill>
            <w14:solidFill>
              <w14:schemeClr w14:val="tx1"/>
            </w14:solidFill>
          </w14:textFill>
        </w:rPr>
        <w:t xml:space="preserve">                                                        </w:t>
      </w:r>
    </w:p>
    <w:p>
      <w:pPr>
        <w:spacing w:line="500" w:lineRule="exact"/>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地    址：</w:t>
      </w:r>
      <w:r>
        <w:rPr>
          <w:rFonts w:hint="eastAsia" w:ascii="仿宋" w:hAnsi="仿宋" w:eastAsia="仿宋" w:cs="仿宋"/>
          <w:color w:val="000000" w:themeColor="text1"/>
          <w:szCs w:val="21"/>
          <w:u w:val="single"/>
          <w14:textFill>
            <w14:solidFill>
              <w14:schemeClr w14:val="tx1"/>
            </w14:solidFill>
          </w14:textFill>
        </w:rPr>
        <w:t xml:space="preserve">                                                        </w:t>
      </w:r>
    </w:p>
    <w:p>
      <w:pPr>
        <w:spacing w:line="500" w:lineRule="exact"/>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成立时间：</w:t>
      </w:r>
      <w:r>
        <w:rPr>
          <w:rFonts w:hint="eastAsia" w:ascii="仿宋" w:hAnsi="仿宋" w:eastAsia="仿宋" w:cs="仿宋"/>
          <w:color w:val="000000" w:themeColor="text1"/>
          <w:szCs w:val="21"/>
          <w:u w:val="single"/>
          <w14:textFill>
            <w14:solidFill>
              <w14:schemeClr w14:val="tx1"/>
            </w14:solidFill>
          </w14:textFill>
        </w:rPr>
        <w:t xml:space="preserve">                 </w:t>
      </w:r>
      <w:r>
        <w:rPr>
          <w:rFonts w:hint="eastAsia" w:ascii="仿宋" w:hAnsi="仿宋" w:eastAsia="仿宋" w:cs="仿宋"/>
          <w:color w:val="000000" w:themeColor="text1"/>
          <w:szCs w:val="21"/>
          <w14:textFill>
            <w14:solidFill>
              <w14:schemeClr w14:val="tx1"/>
            </w14:solidFill>
          </w14:textFill>
        </w:rPr>
        <w:t>年</w:t>
      </w:r>
      <w:r>
        <w:rPr>
          <w:rFonts w:hint="eastAsia" w:ascii="仿宋" w:hAnsi="仿宋" w:eastAsia="仿宋" w:cs="仿宋"/>
          <w:color w:val="000000" w:themeColor="text1"/>
          <w:szCs w:val="21"/>
          <w:u w:val="single"/>
          <w14:textFill>
            <w14:solidFill>
              <w14:schemeClr w14:val="tx1"/>
            </w14:solidFill>
          </w14:textFill>
        </w:rPr>
        <w:t xml:space="preserve">              </w:t>
      </w:r>
      <w:r>
        <w:rPr>
          <w:rFonts w:hint="eastAsia" w:ascii="仿宋" w:hAnsi="仿宋" w:eastAsia="仿宋" w:cs="仿宋"/>
          <w:color w:val="000000" w:themeColor="text1"/>
          <w:szCs w:val="21"/>
          <w14:textFill>
            <w14:solidFill>
              <w14:schemeClr w14:val="tx1"/>
            </w14:solidFill>
          </w14:textFill>
        </w:rPr>
        <w:t>月</w:t>
      </w:r>
      <w:r>
        <w:rPr>
          <w:rFonts w:hint="eastAsia" w:ascii="仿宋" w:hAnsi="仿宋" w:eastAsia="仿宋" w:cs="仿宋"/>
          <w:color w:val="000000" w:themeColor="text1"/>
          <w:szCs w:val="21"/>
          <w:u w:val="single"/>
          <w14:textFill>
            <w14:solidFill>
              <w14:schemeClr w14:val="tx1"/>
            </w14:solidFill>
          </w14:textFill>
        </w:rPr>
        <w:t xml:space="preserve">              </w:t>
      </w:r>
      <w:r>
        <w:rPr>
          <w:rFonts w:hint="eastAsia" w:ascii="仿宋" w:hAnsi="仿宋" w:eastAsia="仿宋" w:cs="仿宋"/>
          <w:color w:val="000000" w:themeColor="text1"/>
          <w:szCs w:val="21"/>
          <w14:textFill>
            <w14:solidFill>
              <w14:schemeClr w14:val="tx1"/>
            </w14:solidFill>
          </w14:textFill>
        </w:rPr>
        <w:t>日</w:t>
      </w:r>
    </w:p>
    <w:p>
      <w:pPr>
        <w:spacing w:line="500" w:lineRule="exact"/>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经营期限：</w:t>
      </w:r>
      <w:r>
        <w:rPr>
          <w:rFonts w:hint="eastAsia" w:ascii="仿宋" w:hAnsi="仿宋" w:eastAsia="仿宋" w:cs="仿宋"/>
          <w:color w:val="000000" w:themeColor="text1"/>
          <w:szCs w:val="21"/>
          <w:u w:val="single"/>
          <w14:textFill>
            <w14:solidFill>
              <w14:schemeClr w14:val="tx1"/>
            </w14:solidFill>
          </w14:textFill>
        </w:rPr>
        <w:t xml:space="preserve">                                                        </w:t>
      </w:r>
    </w:p>
    <w:p>
      <w:pPr>
        <w:spacing w:line="500" w:lineRule="exact"/>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姓    名：</w:t>
      </w:r>
      <w:r>
        <w:rPr>
          <w:rFonts w:hint="eastAsia" w:ascii="仿宋" w:hAnsi="仿宋" w:eastAsia="仿宋" w:cs="仿宋"/>
          <w:color w:val="000000" w:themeColor="text1"/>
          <w:szCs w:val="21"/>
          <w:u w:val="single"/>
          <w14:textFill>
            <w14:solidFill>
              <w14:schemeClr w14:val="tx1"/>
            </w14:solidFill>
          </w14:textFill>
        </w:rPr>
        <w:t xml:space="preserve">                          </w:t>
      </w:r>
      <w:r>
        <w:rPr>
          <w:rFonts w:hint="eastAsia" w:ascii="仿宋" w:hAnsi="仿宋" w:eastAsia="仿宋" w:cs="仿宋"/>
          <w:color w:val="000000" w:themeColor="text1"/>
          <w:szCs w:val="21"/>
          <w14:textFill>
            <w14:solidFill>
              <w14:schemeClr w14:val="tx1"/>
            </w14:solidFill>
          </w14:textFill>
        </w:rPr>
        <w:t>性      别：</w:t>
      </w:r>
      <w:r>
        <w:rPr>
          <w:rFonts w:hint="eastAsia" w:ascii="仿宋" w:hAnsi="仿宋" w:eastAsia="仿宋" w:cs="仿宋"/>
          <w:color w:val="000000" w:themeColor="text1"/>
          <w:szCs w:val="21"/>
          <w:u w:val="single"/>
          <w14:textFill>
            <w14:solidFill>
              <w14:schemeClr w14:val="tx1"/>
            </w14:solidFill>
          </w14:textFill>
        </w:rPr>
        <w:t xml:space="preserve">                </w:t>
      </w:r>
    </w:p>
    <w:p>
      <w:pPr>
        <w:spacing w:line="500" w:lineRule="exact"/>
        <w:rPr>
          <w:rFonts w:ascii="仿宋" w:hAnsi="仿宋" w:eastAsia="仿宋" w:cs="仿宋"/>
          <w:color w:val="000000" w:themeColor="text1"/>
          <w:szCs w:val="21"/>
          <w:u w:val="single"/>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年    龄：</w:t>
      </w:r>
      <w:r>
        <w:rPr>
          <w:rFonts w:hint="eastAsia" w:ascii="仿宋" w:hAnsi="仿宋" w:eastAsia="仿宋" w:cs="仿宋"/>
          <w:color w:val="000000" w:themeColor="text1"/>
          <w:szCs w:val="21"/>
          <w:u w:val="single"/>
          <w14:textFill>
            <w14:solidFill>
              <w14:schemeClr w14:val="tx1"/>
            </w14:solidFill>
          </w14:textFill>
        </w:rPr>
        <w:t xml:space="preserve">                          </w:t>
      </w:r>
      <w:r>
        <w:rPr>
          <w:rFonts w:hint="eastAsia" w:ascii="仿宋" w:hAnsi="仿宋" w:eastAsia="仿宋" w:cs="仿宋"/>
          <w:color w:val="000000" w:themeColor="text1"/>
          <w:szCs w:val="21"/>
          <w14:textFill>
            <w14:solidFill>
              <w14:schemeClr w14:val="tx1"/>
            </w14:solidFill>
          </w14:textFill>
        </w:rPr>
        <w:t>职      务：</w:t>
      </w:r>
      <w:r>
        <w:rPr>
          <w:rFonts w:hint="eastAsia" w:ascii="仿宋" w:hAnsi="仿宋" w:eastAsia="仿宋" w:cs="仿宋"/>
          <w:color w:val="000000" w:themeColor="text1"/>
          <w:szCs w:val="21"/>
          <w:u w:val="single"/>
          <w14:textFill>
            <w14:solidFill>
              <w14:schemeClr w14:val="tx1"/>
            </w14:solidFill>
          </w14:textFill>
        </w:rPr>
        <w:t xml:space="preserve">                </w:t>
      </w:r>
    </w:p>
    <w:p>
      <w:pPr>
        <w:spacing w:line="500" w:lineRule="exact"/>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身份证号码：</w:t>
      </w:r>
      <w:r>
        <w:rPr>
          <w:rFonts w:hint="eastAsia" w:ascii="仿宋" w:hAnsi="仿宋" w:eastAsia="仿宋" w:cs="仿宋"/>
          <w:color w:val="000000" w:themeColor="text1"/>
          <w:szCs w:val="21"/>
          <w:u w:val="single"/>
          <w14:textFill>
            <w14:solidFill>
              <w14:schemeClr w14:val="tx1"/>
            </w14:solidFill>
          </w14:textFill>
        </w:rPr>
        <w:t xml:space="preserve">                                 </w:t>
      </w:r>
    </w:p>
    <w:p>
      <w:pPr>
        <w:spacing w:line="500" w:lineRule="exact"/>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系</w:t>
      </w:r>
      <w:r>
        <w:rPr>
          <w:rFonts w:hint="eastAsia" w:ascii="仿宋" w:hAnsi="仿宋" w:eastAsia="仿宋" w:cs="仿宋"/>
          <w:color w:val="000000" w:themeColor="text1"/>
          <w:szCs w:val="21"/>
          <w:u w:val="single"/>
          <w14:textFill>
            <w14:solidFill>
              <w14:schemeClr w14:val="tx1"/>
            </w14:solidFill>
          </w14:textFill>
        </w:rPr>
        <w:t xml:space="preserve">                                                 </w:t>
      </w:r>
      <w:r>
        <w:rPr>
          <w:rFonts w:hint="eastAsia" w:ascii="仿宋" w:hAnsi="仿宋" w:eastAsia="仿宋" w:cs="仿宋"/>
          <w:color w:val="000000" w:themeColor="text1"/>
          <w:szCs w:val="21"/>
          <w14:textFill>
            <w14:solidFill>
              <w14:schemeClr w14:val="tx1"/>
            </w14:solidFill>
          </w14:textFill>
        </w:rPr>
        <w:t>（供应商名称）的法定代表人。</w:t>
      </w:r>
    </w:p>
    <w:p>
      <w:pPr>
        <w:pStyle w:val="11"/>
        <w:spacing w:line="460" w:lineRule="exact"/>
        <w:ind w:firstLine="539" w:firstLineChars="257"/>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特此证明。</w:t>
      </w:r>
    </w:p>
    <w:p>
      <w:pPr>
        <w:pStyle w:val="11"/>
        <w:spacing w:line="460" w:lineRule="exact"/>
        <w:ind w:firstLine="539" w:firstLineChars="257"/>
        <w:rPr>
          <w:rFonts w:ascii="仿宋" w:hAnsi="仿宋" w:eastAsia="仿宋" w:cs="仿宋"/>
          <w:color w:val="000000" w:themeColor="text1"/>
          <w14:textFill>
            <w14:solidFill>
              <w14:schemeClr w14:val="tx1"/>
            </w14:solidFill>
          </w14:textFill>
        </w:rPr>
      </w:pPr>
    </w:p>
    <w:p>
      <w:pPr>
        <w:pStyle w:val="11"/>
        <w:spacing w:line="460" w:lineRule="exact"/>
        <w:ind w:firstLine="539" w:firstLineChars="257"/>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附：法定代表人有效的身份证正反面复印件，并加盖公章。</w:t>
      </w:r>
    </w:p>
    <w:p>
      <w:pPr>
        <w:pStyle w:val="11"/>
        <w:spacing w:line="460" w:lineRule="exact"/>
        <w:ind w:firstLine="539" w:firstLineChars="257"/>
        <w:rPr>
          <w:rFonts w:ascii="仿宋" w:hAnsi="仿宋" w:eastAsia="仿宋" w:cs="仿宋"/>
          <w:color w:val="000000" w:themeColor="text1"/>
          <w14:textFill>
            <w14:solidFill>
              <w14:schemeClr w14:val="tx1"/>
            </w14:solidFill>
          </w14:textFill>
        </w:rPr>
      </w:pPr>
    </w:p>
    <w:tbl>
      <w:tblPr>
        <w:tblStyle w:val="18"/>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身份证正反面复印件</w:t>
            </w:r>
          </w:p>
          <w:p>
            <w:pPr>
              <w:pStyle w:val="11"/>
              <w:spacing w:before="120" w:line="360" w:lineRule="auto"/>
              <w:ind w:firstLine="420"/>
              <w:rPr>
                <w:rFonts w:hAnsi="宋体"/>
                <w:color w:val="000000" w:themeColor="text1"/>
                <w14:textFill>
                  <w14:solidFill>
                    <w14:schemeClr w14:val="tx1"/>
                  </w14:solidFill>
                </w14:textFill>
              </w:rPr>
            </w:pPr>
          </w:p>
          <w:p>
            <w:pPr>
              <w:pStyle w:val="11"/>
              <w:spacing w:before="120" w:line="360" w:lineRule="auto"/>
              <w:ind w:firstLine="420"/>
              <w:rPr>
                <w:rFonts w:hAnsi="宋体"/>
                <w:color w:val="000000" w:themeColor="text1"/>
                <w14:textFill>
                  <w14:solidFill>
                    <w14:schemeClr w14:val="tx1"/>
                  </w14:solidFill>
                </w14:textFill>
              </w:rPr>
            </w:pPr>
          </w:p>
          <w:p>
            <w:pPr>
              <w:pStyle w:val="11"/>
              <w:spacing w:before="120" w:line="360" w:lineRule="auto"/>
              <w:ind w:firstLine="420"/>
              <w:rPr>
                <w:rFonts w:hAnsi="宋体"/>
                <w:color w:val="000000" w:themeColor="text1"/>
                <w14:textFill>
                  <w14:solidFill>
                    <w14:schemeClr w14:val="tx1"/>
                  </w14:solidFill>
                </w14:textFill>
              </w:rPr>
            </w:pPr>
          </w:p>
          <w:p>
            <w:pPr>
              <w:pStyle w:val="11"/>
              <w:spacing w:before="120" w:line="360" w:lineRule="auto"/>
              <w:ind w:firstLine="420"/>
              <w:rPr>
                <w:rFonts w:hAnsi="宋体"/>
                <w:color w:val="000000" w:themeColor="text1"/>
                <w14:textFill>
                  <w14:solidFill>
                    <w14:schemeClr w14:val="tx1"/>
                  </w14:solidFill>
                </w14:textFill>
              </w:rPr>
            </w:pPr>
          </w:p>
        </w:tc>
      </w:tr>
    </w:tbl>
    <w:p>
      <w:pPr>
        <w:pStyle w:val="11"/>
        <w:wordWrap w:val="0"/>
        <w:spacing w:line="460" w:lineRule="exact"/>
        <w:ind w:firstLine="539" w:firstLineChars="257"/>
        <w:jc w:val="righ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供应商：（盖单位公章）</w:t>
      </w:r>
      <w:r>
        <w:rPr>
          <w:rFonts w:hint="eastAsia" w:ascii="仿宋" w:hAnsi="仿宋" w:eastAsia="仿宋" w:cs="仿宋"/>
          <w:color w:val="000000" w:themeColor="text1"/>
          <w:u w:val="single"/>
          <w14:textFill>
            <w14:solidFill>
              <w14:schemeClr w14:val="tx1"/>
            </w14:solidFill>
          </w14:textFill>
        </w:rPr>
        <w:t xml:space="preserve">                     </w:t>
      </w:r>
    </w:p>
    <w:p>
      <w:pPr>
        <w:pStyle w:val="11"/>
        <w:spacing w:line="460" w:lineRule="exact"/>
        <w:ind w:firstLine="539" w:firstLineChars="257"/>
        <w:rPr>
          <w:rFonts w:ascii="仿宋" w:hAnsi="仿宋" w:eastAsia="仿宋" w:cs="仿宋"/>
          <w:color w:val="000000" w:themeColor="text1"/>
          <w14:textFill>
            <w14:solidFill>
              <w14:schemeClr w14:val="tx1"/>
            </w14:solidFill>
          </w14:textFill>
        </w:rPr>
      </w:pPr>
    </w:p>
    <w:p>
      <w:pPr>
        <w:pStyle w:val="11"/>
        <w:spacing w:line="460" w:lineRule="exact"/>
        <w:ind w:firstLine="525" w:firstLineChars="250"/>
        <w:jc w:val="righ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日期：   年    月    日</w:t>
      </w:r>
    </w:p>
    <w:p>
      <w:pPr>
        <w:pStyle w:val="11"/>
        <w:spacing w:line="460" w:lineRule="exact"/>
        <w:rPr>
          <w:color w:val="000000" w:themeColor="text1"/>
          <w14:textFill>
            <w14:solidFill>
              <w14:schemeClr w14:val="tx1"/>
            </w14:solidFill>
          </w14:textFill>
        </w:rPr>
      </w:pPr>
    </w:p>
    <w:p>
      <w:pPr>
        <w:pStyle w:val="11"/>
        <w:spacing w:line="460" w:lineRule="exact"/>
        <w:rPr>
          <w:color w:val="000000" w:themeColor="text1"/>
          <w14:textFill>
            <w14:solidFill>
              <w14:schemeClr w14:val="tx1"/>
            </w14:solidFill>
          </w14:textFill>
        </w:rPr>
      </w:pPr>
    </w:p>
    <w:p>
      <w:pPr>
        <w:pStyle w:val="16"/>
        <w:ind w:left="980" w:hanging="560"/>
        <w:rPr>
          <w:color w:val="000000" w:themeColor="text1"/>
          <w:highlight w:val="yellow"/>
          <w14:textFill>
            <w14:solidFill>
              <w14:schemeClr w14:val="tx1"/>
            </w14:solidFill>
          </w14:textFill>
        </w:rPr>
      </w:pPr>
    </w:p>
    <w:p>
      <w:pPr>
        <w:pStyle w:val="16"/>
        <w:ind w:left="982" w:hanging="56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附件四</w:t>
      </w:r>
    </w:p>
    <w:p>
      <w:pPr>
        <w:adjustRightInd w:val="0"/>
        <w:snapToGrid w:val="0"/>
        <w:spacing w:line="30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法定代表人授权书</w:t>
      </w:r>
    </w:p>
    <w:p>
      <w:pPr>
        <w:adjustRightInd w:val="0"/>
        <w:snapToGrid w:val="0"/>
        <w:spacing w:line="300" w:lineRule="auto"/>
        <w:rPr>
          <w:rFonts w:ascii="宋体" w:hAnsi="宋体"/>
          <w:color w:val="000000" w:themeColor="text1"/>
          <w:szCs w:val="21"/>
          <w:highlight w:val="yellow"/>
          <w14:textFill>
            <w14:solidFill>
              <w14:schemeClr w14:val="tx1"/>
            </w14:solidFill>
          </w14:textFill>
        </w:rPr>
      </w:pPr>
    </w:p>
    <w:p>
      <w:pPr>
        <w:snapToGrid w:val="0"/>
        <w:spacing w:before="156" w:beforeLines="50" w:after="50"/>
        <w:rPr>
          <w:rFonts w:ascii="仿宋" w:hAnsi="仿宋" w:eastAsia="仿宋" w:cs="仿宋"/>
          <w:b/>
          <w:bCs/>
          <w:color w:val="000000" w:themeColor="text1"/>
          <w:sz w:val="24"/>
          <w:szCs w:val="20"/>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致：</w:t>
      </w: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（采购人名称）</w:t>
      </w:r>
      <w:r>
        <w:rPr>
          <w:rFonts w:hint="eastAsia" w:ascii="仿宋" w:hAnsi="仿宋" w:eastAsia="仿宋" w:cs="仿宋"/>
          <w:b/>
          <w:bCs/>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pPr>
        <w:snapToGrid w:val="0"/>
        <w:spacing w:before="156" w:beforeLines="50" w:after="50"/>
        <w:ind w:firstLine="566" w:firstLineChars="236"/>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我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（姓名）系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（供应商名称）的法定代表人，现授权委托本单位在职职工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（姓名）以我方的名义参加</w:t>
      </w:r>
      <w:r>
        <w:rPr>
          <w:rFonts w:hint="eastAsia" w:ascii="仿宋" w:hAnsi="仿宋" w:eastAsia="仿宋" w:cs="仿宋"/>
          <w:color w:val="000000" w:themeColor="text1"/>
          <w:sz w:val="24"/>
          <w:u w:val="single"/>
          <w14:textFill>
            <w14:solidFill>
              <w14:schemeClr w14:val="tx1"/>
            </w14:solidFill>
          </w14:textFill>
        </w:rPr>
        <w:t xml:space="preserve">         </w:t>
      </w:r>
    </w:p>
    <w:p>
      <w:pPr>
        <w:snapToGrid w:val="0"/>
        <w:spacing w:before="156" w:beforeLines="50" w:after="50"/>
        <w:rPr>
          <w:rFonts w:ascii="仿宋" w:hAnsi="仿宋" w:eastAsia="仿宋" w:cs="仿宋"/>
          <w:color w:val="000000" w:themeColor="text1"/>
          <w:sz w:val="24"/>
          <w:szCs w:val="20"/>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color w:val="000000" w:themeColor="text1"/>
          <w:sz w:val="24"/>
          <w:szCs w:val="20"/>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我方对被授权人的签字事项负全部责任。</w:t>
      </w:r>
    </w:p>
    <w:p>
      <w:pPr>
        <w:snapToGrid w:val="0"/>
        <w:spacing w:before="156" w:beforeLines="50" w:after="50"/>
        <w:ind w:firstLine="480"/>
        <w:rPr>
          <w:rFonts w:ascii="仿宋" w:hAnsi="仿宋" w:eastAsia="仿宋" w:cs="仿宋"/>
          <w:color w:val="000000" w:themeColor="text1"/>
          <w:sz w:val="24"/>
          <w:szCs w:val="20"/>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在撤销授权的书面通知以前，本授权书一直有效。</w:t>
      </w:r>
      <w:r>
        <w:rPr>
          <w:rFonts w:hint="eastAsia" w:ascii="仿宋" w:hAnsi="仿宋" w:eastAsia="仿宋" w:cs="仿宋"/>
          <w:color w:val="000000" w:themeColor="text1"/>
          <w:sz w:val="24"/>
          <w14:textFill>
            <w14:solidFill>
              <w14:schemeClr w14:val="tx1"/>
            </w14:solidFill>
          </w14:textFill>
        </w:rPr>
        <w:t>被授权人在授权书有效期内签署的所有文件不因授权的撤销而失效。</w:t>
      </w:r>
    </w:p>
    <w:p>
      <w:pPr>
        <w:snapToGrid w:val="0"/>
        <w:spacing w:before="156" w:beforeLines="50" w:after="50"/>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被授权人无转委托权，特此委托。</w:t>
      </w:r>
    </w:p>
    <w:p>
      <w:pPr>
        <w:snapToGrid w:val="0"/>
        <w:spacing w:before="156" w:beforeLines="50" w:after="50"/>
        <w:ind w:firstLine="480"/>
        <w:rPr>
          <w:rFonts w:ascii="仿宋" w:hAnsi="仿宋" w:eastAsia="仿宋" w:cs="仿宋"/>
          <w:color w:val="000000" w:themeColor="text1"/>
          <w:sz w:val="24"/>
          <w:szCs w:val="20"/>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color w:val="000000" w:themeColor="text1"/>
          <w:sz w:val="24"/>
          <w:szCs w:val="20"/>
          <w14:textFill>
            <w14:solidFill>
              <w14:schemeClr w14:val="tx1"/>
            </w14:solidFill>
          </w14:textFill>
        </w:rPr>
      </w:pPr>
    </w:p>
    <w:p>
      <w:pPr>
        <w:snapToGrid w:val="0"/>
        <w:spacing w:before="156" w:beforeLines="50" w:after="5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被授权人签字：</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法定代表人签字：</w:t>
      </w:r>
      <w:r>
        <w:rPr>
          <w:rFonts w:hint="eastAsia" w:ascii="仿宋" w:hAnsi="仿宋" w:eastAsia="仿宋" w:cs="仿宋"/>
          <w:color w:val="000000" w:themeColor="text1"/>
          <w:sz w:val="24"/>
          <w:u w:val="single"/>
          <w14:textFill>
            <w14:solidFill>
              <w14:schemeClr w14:val="tx1"/>
            </w14:solidFill>
          </w14:textFill>
        </w:rPr>
        <w:t xml:space="preserve">              </w:t>
      </w:r>
    </w:p>
    <w:p>
      <w:pPr>
        <w:snapToGrid w:val="0"/>
        <w:spacing w:before="156" w:beforeLines="50" w:after="50"/>
        <w:rPr>
          <w:rFonts w:ascii="仿宋" w:hAnsi="仿宋" w:eastAsia="仿宋" w:cs="仿宋"/>
          <w:color w:val="000000" w:themeColor="text1"/>
          <w:sz w:val="24"/>
          <w:szCs w:val="20"/>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所在部门职务：</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职务：</w:t>
      </w:r>
      <w:r>
        <w:rPr>
          <w:rFonts w:hint="eastAsia" w:ascii="仿宋" w:hAnsi="仿宋" w:eastAsia="仿宋" w:cs="仿宋"/>
          <w:color w:val="000000" w:themeColor="text1"/>
          <w:sz w:val="24"/>
          <w:u w:val="single"/>
          <w14:textFill>
            <w14:solidFill>
              <w14:schemeClr w14:val="tx1"/>
            </w14:solidFill>
          </w14:textFill>
        </w:rPr>
        <w:t xml:space="preserve">                  </w:t>
      </w:r>
    </w:p>
    <w:p>
      <w:pPr>
        <w:snapToGrid w:val="0"/>
        <w:spacing w:before="156" w:beforeLines="50" w:after="50"/>
        <w:rPr>
          <w:rFonts w:ascii="仿宋" w:hAnsi="仿宋" w:eastAsia="仿宋" w:cs="仿宋"/>
          <w:color w:val="000000" w:themeColor="text1"/>
          <w:sz w:val="24"/>
          <w:szCs w:val="20"/>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被授权人身份证号码：</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pPr>
        <w:snapToGrid w:val="0"/>
        <w:spacing w:before="156" w:beforeLines="50" w:after="50"/>
        <w:jc w:val="center"/>
        <w:rPr>
          <w:rFonts w:ascii="仿宋" w:hAnsi="仿宋" w:eastAsia="仿宋" w:cs="仿宋"/>
          <w:color w:val="000000" w:themeColor="text1"/>
          <w:sz w:val="24"/>
          <w:szCs w:val="20"/>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供应商公章：</w:t>
      </w:r>
    </w:p>
    <w:p>
      <w:pPr>
        <w:autoSpaceDE w:val="0"/>
        <w:autoSpaceDN w:val="0"/>
        <w:spacing w:line="300" w:lineRule="auto"/>
        <w:ind w:left="480" w:hanging="480"/>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年    月    日</w:t>
      </w:r>
    </w:p>
    <w:p>
      <w:pPr>
        <w:autoSpaceDE w:val="0"/>
        <w:autoSpaceDN w:val="0"/>
        <w:spacing w:line="300" w:lineRule="auto"/>
        <w:ind w:left="480" w:hanging="480"/>
        <w:rPr>
          <w:rFonts w:ascii="宋体" w:hAnsi="宋体"/>
          <w:color w:val="000000" w:themeColor="text1"/>
          <w:szCs w:val="21"/>
          <w:highlight w:val="yellow"/>
          <w14:textFill>
            <w14:solidFill>
              <w14:schemeClr w14:val="tx1"/>
            </w14:solidFill>
          </w14:textFill>
        </w:rPr>
      </w:pPr>
    </w:p>
    <w:p>
      <w:pPr>
        <w:autoSpaceDE w:val="0"/>
        <w:autoSpaceDN w:val="0"/>
        <w:spacing w:line="300" w:lineRule="auto"/>
        <w:ind w:left="480" w:hanging="480"/>
        <w:rPr>
          <w:rFonts w:ascii="宋体" w:hAnsi="宋体"/>
          <w:color w:val="000000" w:themeColor="text1"/>
          <w:szCs w:val="21"/>
          <w:highlight w:val="yellow"/>
          <w14:textFill>
            <w14:solidFill>
              <w14:schemeClr w14:val="tx1"/>
            </w14:solidFill>
          </w14:textFill>
        </w:rPr>
      </w:pPr>
    </w:p>
    <w:tbl>
      <w:tblPr>
        <w:tblStyle w:val="18"/>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附法定代表人以及被授权人身份证正反面复印件</w:t>
            </w:r>
          </w:p>
          <w:p>
            <w:pPr>
              <w:pStyle w:val="11"/>
              <w:spacing w:before="120" w:line="360" w:lineRule="auto"/>
              <w:ind w:firstLine="420"/>
              <w:rPr>
                <w:rFonts w:hAnsi="宋体"/>
                <w:color w:val="000000" w:themeColor="text1"/>
                <w14:textFill>
                  <w14:solidFill>
                    <w14:schemeClr w14:val="tx1"/>
                  </w14:solidFill>
                </w14:textFill>
              </w:rPr>
            </w:pPr>
          </w:p>
          <w:p>
            <w:pPr>
              <w:pStyle w:val="11"/>
              <w:spacing w:before="120" w:line="360" w:lineRule="auto"/>
              <w:ind w:firstLine="420"/>
              <w:rPr>
                <w:rFonts w:hAnsi="宋体"/>
                <w:color w:val="000000" w:themeColor="text1"/>
                <w14:textFill>
                  <w14:solidFill>
                    <w14:schemeClr w14:val="tx1"/>
                  </w14:solidFill>
                </w14:textFill>
              </w:rPr>
            </w:pPr>
          </w:p>
          <w:p>
            <w:pPr>
              <w:pStyle w:val="11"/>
              <w:spacing w:before="120" w:line="360" w:lineRule="auto"/>
              <w:ind w:firstLine="420"/>
              <w:rPr>
                <w:rFonts w:hAnsi="宋体"/>
                <w:color w:val="000000" w:themeColor="text1"/>
                <w14:textFill>
                  <w14:solidFill>
                    <w14:schemeClr w14:val="tx1"/>
                  </w14:solidFill>
                </w14:textFill>
              </w:rPr>
            </w:pPr>
          </w:p>
          <w:p>
            <w:pPr>
              <w:pStyle w:val="11"/>
              <w:spacing w:before="120" w:line="360" w:lineRule="auto"/>
              <w:ind w:firstLine="420"/>
              <w:rPr>
                <w:rFonts w:hAnsi="宋体"/>
                <w:color w:val="000000" w:themeColor="text1"/>
                <w14:textFill>
                  <w14:solidFill>
                    <w14:schemeClr w14:val="tx1"/>
                  </w14:solidFill>
                </w14:textFill>
              </w:rPr>
            </w:pPr>
          </w:p>
        </w:tc>
      </w:tr>
    </w:tbl>
    <w:p>
      <w:pPr>
        <w:wordWrap w:val="0"/>
        <w:spacing w:line="500" w:lineRule="exact"/>
        <w:rPr>
          <w:rFonts w:asciiTheme="majorEastAsia" w:hAnsiTheme="majorEastAsia" w:eastAsiaTheme="majorEastAsia"/>
          <w:color w:val="000000" w:themeColor="text1"/>
          <w:sz w:val="28"/>
          <w14:textFill>
            <w14:solidFill>
              <w14:schemeClr w14:val="tx1"/>
            </w14:solidFill>
          </w14:textFill>
        </w:rPr>
      </w:pPr>
      <w:r>
        <w:rPr>
          <w:rFonts w:ascii="宋体" w:hAnsi="宋体"/>
          <w:b/>
          <w:color w:val="000000" w:themeColor="text1"/>
          <w:sz w:val="24"/>
          <w:highlight w:val="yellow"/>
          <w14:textFill>
            <w14:solidFill>
              <w14:schemeClr w14:val="tx1"/>
            </w14:solidFill>
          </w14:textFill>
        </w:rPr>
        <w:br w:type="page"/>
      </w:r>
    </w:p>
    <w:p>
      <w:pP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附件五</w:t>
      </w:r>
    </w:p>
    <w:p>
      <w:pPr>
        <w:rPr>
          <w:rFonts w:ascii="宋体" w:hAnsi="宋体" w:cs="宋体"/>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有效的主体资格证明文件复印件：</w:t>
      </w:r>
    </w:p>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①供应商有效的“主体资格证明文件”复印件（如营业执照、事业单位法人证书、执业许可证、自然人身份证等）；[必须提供] </w:t>
      </w:r>
    </w:p>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②本项目的特定资格要求:[如有要求，必须提供]</w:t>
      </w:r>
    </w:p>
    <w:p>
      <w:pPr>
        <w:jc w:val="left"/>
        <w:rPr>
          <w:rFonts w:ascii="黑体" w:hAnsi="黑体" w:eastAsia="黑体" w:cs="方正小标宋简体"/>
          <w:color w:val="000000" w:themeColor="text1"/>
          <w:sz w:val="32"/>
          <w:szCs w:val="44"/>
          <w14:textFill>
            <w14:solidFill>
              <w14:schemeClr w14:val="tx1"/>
            </w14:solidFill>
          </w14:textFill>
        </w:rPr>
      </w:pPr>
      <w:r>
        <w:rPr>
          <w:rFonts w:ascii="黑体" w:hAnsi="黑体" w:eastAsia="黑体" w:cs="方正小标宋简体"/>
          <w:color w:val="000000" w:themeColor="text1"/>
          <w:sz w:val="32"/>
          <w:szCs w:val="44"/>
          <w14:textFill>
            <w14:solidFill>
              <w14:schemeClr w14:val="tx1"/>
            </w14:solidFill>
          </w14:textFill>
        </w:rPr>
        <w:br w:type="page"/>
      </w:r>
    </w:p>
    <w:p>
      <w:pPr>
        <w:pStyle w:val="15"/>
        <w:rPr>
          <w:color w:val="000000" w:themeColor="text1"/>
          <w14:textFill>
            <w14:solidFill>
              <w14:schemeClr w14:val="tx1"/>
            </w14:solidFill>
          </w14:textFill>
        </w:rPr>
      </w:pPr>
    </w:p>
    <w:p>
      <w:pPr>
        <w:autoSpaceDE w:val="0"/>
        <w:autoSpaceDN w:val="0"/>
        <w:spacing w:line="300" w:lineRule="auto"/>
        <w:ind w:left="480" w:hanging="480"/>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附件六</w:t>
      </w:r>
    </w:p>
    <w:p>
      <w:pPr>
        <w:pStyle w:val="16"/>
        <w:ind w:left="980" w:hanging="560"/>
        <w:rPr>
          <w:color w:val="000000" w:themeColor="text1"/>
          <w14:textFill>
            <w14:solidFill>
              <w14:schemeClr w14:val="tx1"/>
            </w14:solidFill>
          </w14:textFill>
        </w:rPr>
      </w:pPr>
    </w:p>
    <w:p>
      <w:pPr>
        <w:snapToGrid w:val="0"/>
        <w:spacing w:before="50" w:after="156" w:afterLines="50" w:line="360" w:lineRule="auto"/>
        <w:jc w:val="center"/>
        <w:rPr>
          <w:rFonts w:ascii="方正小标宋简体" w:hAnsi="方正小标宋简体" w:eastAsia="方正小标宋简体" w:cs="方正小标宋简体"/>
          <w:bCs/>
          <w:color w:val="000000" w:themeColor="text1"/>
          <w:sz w:val="28"/>
          <w:szCs w:val="28"/>
          <w14:textFill>
            <w14:solidFill>
              <w14:schemeClr w14:val="tx1"/>
            </w14:solidFill>
          </w14:textFill>
        </w:rPr>
      </w:pPr>
      <w:r>
        <w:rPr>
          <w:rFonts w:hint="eastAsia" w:ascii="方正小标宋简体" w:hAnsi="方正小标宋简体" w:eastAsia="方正小标宋简体" w:cs="方正小标宋简体"/>
          <w:bCs/>
          <w:color w:val="000000" w:themeColor="text1"/>
          <w:sz w:val="28"/>
          <w:szCs w:val="28"/>
          <w14:textFill>
            <w14:solidFill>
              <w14:schemeClr w14:val="tx1"/>
            </w14:solidFill>
          </w14:textFill>
        </w:rPr>
        <w:t>供应商信用证明材料</w:t>
      </w:r>
    </w:p>
    <w:p>
      <w:pPr>
        <w:pStyle w:val="83"/>
        <w:numPr>
          <w:ilvl w:val="0"/>
          <w:numId w:val="1"/>
        </w:numP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参加采购活动前三年内在经营活动中没有重大违法记录和不良信用记录的书面声明[格式自拟，必须提供]</w:t>
      </w:r>
    </w:p>
    <w:p>
      <w:pPr>
        <w:pStyle w:val="83"/>
        <w:numPr>
          <w:ilvl w:val="0"/>
          <w:numId w:val="1"/>
        </w:numP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信用中国网站截图[必须提供]</w:t>
      </w:r>
    </w:p>
    <w:p>
      <w:pPr>
        <w:snapToGrid w:val="0"/>
        <w:spacing w:line="400" w:lineRule="exact"/>
        <w:rPr>
          <w:rFonts w:ascii="黑体" w:hAnsi="黑体" w:eastAsia="黑体" w:cs="方正小标宋简体"/>
          <w:color w:val="000000" w:themeColor="text1"/>
          <w:sz w:val="32"/>
          <w:szCs w:val="4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3.中国政府采购网截图[必须提供]</w:t>
      </w:r>
    </w:p>
    <w:p>
      <w:pPr>
        <w:jc w:val="left"/>
        <w:rPr>
          <w:rFonts w:asciiTheme="majorEastAsia" w:hAnsiTheme="majorEastAsia" w:eastAsiaTheme="majorEastAsia"/>
          <w:b/>
          <w:color w:val="000000" w:themeColor="text1"/>
          <w:sz w:val="32"/>
          <w:szCs w:val="32"/>
          <w14:textFill>
            <w14:solidFill>
              <w14:schemeClr w14:val="tx1"/>
            </w14:solidFill>
          </w14:textFill>
        </w:rPr>
      </w:pPr>
      <w:bookmarkStart w:id="13" w:name="_Toc42077370"/>
      <w:r>
        <w:rPr>
          <w:rFonts w:hint="eastAsia" w:asciiTheme="majorEastAsia" w:hAnsiTheme="majorEastAsia" w:eastAsiaTheme="majorEastAsia"/>
          <w:b/>
          <w:color w:val="000000" w:themeColor="text1"/>
          <w:sz w:val="32"/>
          <w:szCs w:val="32"/>
          <w14:textFill>
            <w14:solidFill>
              <w14:schemeClr w14:val="tx1"/>
            </w14:solidFill>
          </w14:textFill>
        </w:rPr>
        <w:br w:type="page"/>
      </w:r>
    </w:p>
    <w:p>
      <w:pPr>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14" w:name="_Toc24643"/>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第五章 合同主要条款</w:t>
      </w:r>
      <w:bookmarkEnd w:id="13"/>
      <w:bookmarkEnd w:id="14"/>
    </w:p>
    <w:p>
      <w:pPr>
        <w:spacing w:line="360" w:lineRule="exact"/>
        <w:ind w:right="960"/>
        <w:jc w:val="center"/>
        <w:rPr>
          <w:rFonts w:asciiTheme="majorEastAsia" w:hAnsiTheme="majorEastAsia" w:eastAsiaTheme="majorEastAsia"/>
          <w:b/>
          <w:color w:val="000000" w:themeColor="text1"/>
          <w:sz w:val="32"/>
          <w:szCs w:val="32"/>
          <w14:textFill>
            <w14:solidFill>
              <w14:schemeClr w14:val="tx1"/>
            </w14:solidFill>
          </w14:textFill>
        </w:rPr>
      </w:pPr>
    </w:p>
    <w:p>
      <w:pPr>
        <w:spacing w:line="500" w:lineRule="exact"/>
        <w:jc w:val="center"/>
        <w:rPr>
          <w:rFonts w:ascii="宋体" w:hAnsi="宋体" w:cs="宋体"/>
          <w:b/>
          <w:bCs/>
          <w:color w:val="000000" w:themeColor="text1"/>
          <w:sz w:val="44"/>
          <w:szCs w:val="52"/>
          <w14:textFill>
            <w14:solidFill>
              <w14:schemeClr w14:val="tx1"/>
            </w14:solidFill>
          </w14:textFill>
        </w:rPr>
      </w:pPr>
      <w:bookmarkStart w:id="15" w:name="_Toc15562802"/>
      <w:r>
        <w:rPr>
          <w:rFonts w:hint="eastAsia" w:ascii="宋体" w:hAnsi="宋体" w:cs="宋体"/>
          <w:b/>
          <w:bCs/>
          <w:color w:val="000000" w:themeColor="text1"/>
          <w:sz w:val="44"/>
          <w:szCs w:val="52"/>
          <w14:textFill>
            <w14:solidFill>
              <w14:schemeClr w14:val="tx1"/>
            </w14:solidFill>
          </w14:textFill>
        </w:rPr>
        <w:t>广西工商职业技术学院武鸣校区</w:t>
      </w:r>
      <w:r>
        <w:rPr>
          <w:rFonts w:ascii="宋体" w:hAnsi="宋体" w:cs="宋体"/>
          <w:b/>
          <w:bCs/>
          <w:color w:val="000000" w:themeColor="text1"/>
          <w:sz w:val="44"/>
          <w:szCs w:val="52"/>
          <w14:textFill>
            <w14:solidFill>
              <w14:schemeClr w14:val="tx1"/>
            </w14:solidFill>
          </w14:textFill>
        </w:rPr>
        <w:t>青年之家、团委会议室音响设备</w:t>
      </w:r>
      <w:r>
        <w:rPr>
          <w:rFonts w:hint="eastAsia" w:ascii="宋体" w:hAnsi="宋体" w:cs="宋体"/>
          <w:b/>
          <w:bCs/>
          <w:color w:val="000000" w:themeColor="text1"/>
          <w:sz w:val="44"/>
          <w:szCs w:val="52"/>
          <w14:textFill>
            <w14:solidFill>
              <w14:schemeClr w14:val="tx1"/>
            </w14:solidFill>
          </w14:textFill>
        </w:rPr>
        <w:t>采购项目采购合同</w:t>
      </w:r>
    </w:p>
    <w:bookmarkEnd w:id="15"/>
    <w:p>
      <w:pPr>
        <w:adjustRightInd w:val="0"/>
        <w:snapToGrid w:val="0"/>
        <w:spacing w:line="360" w:lineRule="auto"/>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采购方（甲方）：广西工商职业技术学院</w:t>
      </w:r>
    </w:p>
    <w:p>
      <w:pPr>
        <w:pStyle w:val="77"/>
        <w:shd w:val="clear" w:color="auto" w:fill="FFFFFF"/>
        <w:adjustRightInd w:val="0"/>
        <w:snapToGrid w:val="0"/>
        <w:spacing w:before="0" w:beforeAutospacing="0" w:after="0" w:afterAutospacing="0" w:line="360" w:lineRule="auto"/>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供应方（乙方)：</w:t>
      </w:r>
    </w:p>
    <w:p>
      <w:pPr>
        <w:snapToGrid w:val="0"/>
        <w:spacing w:line="400" w:lineRule="exact"/>
        <w:ind w:firstLine="640" w:firstLineChars="200"/>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根据甲方广西工商职业技术学院武鸣校区</w:t>
      </w:r>
      <w:r>
        <w:rPr>
          <w:rFonts w:ascii="仿宋" w:hAnsi="仿宋" w:eastAsia="仿宋"/>
          <w:color w:val="000000" w:themeColor="text1"/>
          <w:sz w:val="32"/>
          <w:szCs w:val="32"/>
          <w14:textFill>
            <w14:solidFill>
              <w14:schemeClr w14:val="tx1"/>
            </w14:solidFill>
          </w14:textFill>
        </w:rPr>
        <w:t>青年之家、团委会议室音响设备</w:t>
      </w:r>
      <w:r>
        <w:rPr>
          <w:rFonts w:hint="eastAsia" w:ascii="仿宋" w:hAnsi="仿宋" w:eastAsia="仿宋"/>
          <w:color w:val="000000" w:themeColor="text1"/>
          <w:sz w:val="32"/>
          <w:szCs w:val="32"/>
          <w14:textFill>
            <w14:solidFill>
              <w14:schemeClr w14:val="tx1"/>
            </w14:solidFill>
          </w14:textFill>
        </w:rPr>
        <w:t>采购项目采购成交的结果、《中华人民共和国民法典》及其他有关法律、法规之规定，甲乙双方经过协商，确认根据下列条款订立合同，以资共同遵照执行。</w:t>
      </w:r>
    </w:p>
    <w:p>
      <w:pPr>
        <w:pStyle w:val="68"/>
        <w:numPr>
          <w:ilvl w:val="0"/>
          <w:numId w:val="2"/>
        </w:numPr>
        <w:snapToGrid w:val="0"/>
        <w:spacing w:line="360" w:lineRule="auto"/>
        <w:ind w:firstLineChars="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合同标的</w:t>
      </w:r>
    </w:p>
    <w:p>
      <w:pPr>
        <w:snapToGrid w:val="0"/>
        <w:spacing w:line="360" w:lineRule="auto"/>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1.货物清单及价格</w:t>
      </w:r>
    </w:p>
    <w:tbl>
      <w:tblPr>
        <w:tblStyle w:val="18"/>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23"/>
        <w:gridCol w:w="550"/>
        <w:gridCol w:w="1707"/>
        <w:gridCol w:w="2173"/>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序号</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名称</w:t>
            </w: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数量①</w:t>
            </w: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品牌型号（如有）</w:t>
            </w: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技术参数及性能配置</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单价（元）</w:t>
            </w:r>
          </w:p>
          <w:p>
            <w:pPr>
              <w:spacing w:line="360" w:lineRule="auto"/>
              <w:jc w:val="center"/>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②</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单项合价（元）</w:t>
            </w:r>
          </w:p>
          <w:p>
            <w:pPr>
              <w:spacing w:line="360" w:lineRule="auto"/>
              <w:jc w:val="center"/>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③=①×②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1</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000000" w:themeColor="text1"/>
                <w:kern w:val="0"/>
                <w:sz w:val="32"/>
                <w:szCs w:val="32"/>
                <w14:textFill>
                  <w14:solidFill>
                    <w14:schemeClr w14:val="tx1"/>
                  </w14:solidFill>
                </w14:textFill>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000000" w:themeColor="text1"/>
                <w:kern w:val="0"/>
                <w:sz w:val="32"/>
                <w:szCs w:val="32"/>
                <w14:textFill>
                  <w14:solidFill>
                    <w14:schemeClr w14:val="tx1"/>
                  </w14:solidFill>
                </w14:textFill>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000000" w:themeColor="text1"/>
                <w:kern w:val="0"/>
                <w:sz w:val="32"/>
                <w:szCs w:val="32"/>
                <w14:textFill>
                  <w14:solidFill>
                    <w14:schemeClr w14:val="tx1"/>
                  </w14:solidFill>
                </w14:textFill>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000000" w:themeColor="text1"/>
                <w:kern w:val="0"/>
                <w:sz w:val="32"/>
                <w:szCs w:val="32"/>
                <w14:textFill>
                  <w14:solidFill>
                    <w14:schemeClr w14:val="tx1"/>
                  </w14:solidFill>
                </w14:textFill>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合计（含其他优惠条件）：人民币   元整（</w:t>
            </w:r>
            <w:r>
              <w:rPr>
                <w:rFonts w:hint="eastAsia" w:ascii="宋体" w:hAnsi="宋体" w:cs="宋体"/>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 xml:space="preserve">     元 ）。</w:t>
            </w:r>
            <w:r>
              <w:rPr>
                <w:rFonts w:ascii="仿宋" w:hAnsi="仿宋" w:eastAsia="仿宋"/>
                <w:color w:val="000000" w:themeColor="text1"/>
                <w:kern w:val="0"/>
                <w:sz w:val="32"/>
                <w:szCs w:val="32"/>
                <w14:textFill>
                  <w14:solidFill>
                    <w14:schemeClr w14:val="tx1"/>
                  </w14:solidFill>
                </w14:textFill>
              </w:rPr>
              <w:t xml:space="preserve"> </w:t>
            </w:r>
          </w:p>
        </w:tc>
      </w:tr>
    </w:tbl>
    <w:p>
      <w:pPr>
        <w:snapToGrid w:val="0"/>
        <w:spacing w:line="360" w:lineRule="auto"/>
        <w:ind w:right="420"/>
        <w:rPr>
          <w:rFonts w:ascii="仿宋" w:hAnsi="仿宋" w:eastAsia="仿宋"/>
          <w:color w:val="000000" w:themeColor="text1"/>
          <w:kern w:val="0"/>
          <w:sz w:val="32"/>
          <w:szCs w:val="32"/>
          <w14:textFill>
            <w14:solidFill>
              <w14:schemeClr w14:val="tx1"/>
            </w14:solidFill>
          </w14:textFill>
        </w:rPr>
      </w:pPr>
    </w:p>
    <w:p>
      <w:pPr>
        <w:snapToGrid w:val="0"/>
        <w:spacing w:line="360" w:lineRule="auto"/>
        <w:ind w:right="42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2.合同合计金额为：人民币     元整（</w:t>
      </w:r>
      <w:r>
        <w:rPr>
          <w:rFonts w:hint="eastAsia" w:ascii="宋体" w:hAnsi="宋体" w:cs="宋体"/>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 xml:space="preserve">          元 ）。</w:t>
      </w:r>
    </w:p>
    <w:p>
      <w:pPr>
        <w:snapToGrid w:val="0"/>
        <w:spacing w:line="360" w:lineRule="auto"/>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3.合同合计金额包括完成本项目采购要求、人员要求所产生的全部费用。</w:t>
      </w:r>
    </w:p>
    <w:p>
      <w:pPr>
        <w:snapToGrid w:val="0"/>
        <w:spacing w:line="360" w:lineRule="auto"/>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二、质量保证</w:t>
      </w:r>
    </w:p>
    <w:p>
      <w:pPr>
        <w:snapToGrid w:val="0"/>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1.乙方所提供的服务、货物质量应达到响应文件要求和承诺的质量要求。</w:t>
      </w:r>
    </w:p>
    <w:p>
      <w:pPr>
        <w:widowControl/>
        <w:spacing w:line="360" w:lineRule="auto"/>
        <w:ind w:firstLine="640" w:firstLineChars="200"/>
        <w:textAlignment w:val="center"/>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2.乙方所报价物品必须是原厂正货，经检验合格的，未经使用的全新产品。</w:t>
      </w:r>
    </w:p>
    <w:p>
      <w:pPr>
        <w:snapToGrid w:val="0"/>
        <w:spacing w:line="360" w:lineRule="auto"/>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三、权利保证</w:t>
      </w:r>
    </w:p>
    <w:p>
      <w:pPr>
        <w:snapToGrid w:val="0"/>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1.乙方应保证所提供的货物、服务不会侵犯任何第三方的专利权、商标权、工业设计权或其他权利。</w:t>
      </w:r>
    </w:p>
    <w:p>
      <w:pPr>
        <w:snapToGrid w:val="0"/>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pPr>
        <w:pStyle w:val="77"/>
        <w:shd w:val="clear" w:color="auto" w:fill="FFFFFF"/>
        <w:adjustRightInd w:val="0"/>
        <w:snapToGrid w:val="0"/>
        <w:spacing w:before="0" w:beforeAutospacing="0" w:after="0" w:afterAutospacing="0" w:line="360" w:lineRule="auto"/>
        <w:ind w:firstLine="640"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3、货物在交付甲方前发生的风险均由乙方负责。</w:t>
      </w:r>
    </w:p>
    <w:p>
      <w:pPr>
        <w:snapToGrid w:val="0"/>
        <w:spacing w:line="360" w:lineRule="auto"/>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四、交付方式与验收</w:t>
      </w:r>
    </w:p>
    <w:p>
      <w:pPr>
        <w:pStyle w:val="11"/>
        <w:spacing w:after="60"/>
        <w:ind w:firstLine="800" w:firstLineChars="25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1.交货时间：</w:t>
      </w:r>
      <w:r>
        <w:rPr>
          <w:rFonts w:hint="eastAsia" w:ascii="仿宋" w:hAnsi="仿宋" w:eastAsia="仿宋" w:cs="Times New Roman"/>
          <w:color w:val="000000" w:themeColor="text1"/>
          <w:kern w:val="0"/>
          <w:sz w:val="32"/>
          <w:szCs w:val="32"/>
          <w:u w:val="single"/>
          <w14:textFill>
            <w14:solidFill>
              <w14:schemeClr w14:val="tx1"/>
            </w14:solidFill>
          </w14:textFill>
        </w:rPr>
        <w:t xml:space="preserve">                           </w:t>
      </w:r>
      <w:r>
        <w:rPr>
          <w:rFonts w:hint="eastAsia" w:ascii="仿宋" w:hAnsi="仿宋" w:eastAsia="仿宋" w:cs="Times New Roman"/>
          <w:color w:val="000000" w:themeColor="text1"/>
          <w:kern w:val="0"/>
          <w:sz w:val="32"/>
          <w:szCs w:val="32"/>
          <w14:textFill>
            <w14:solidFill>
              <w14:schemeClr w14:val="tx1"/>
            </w14:solidFill>
          </w14:textFill>
        </w:rPr>
        <w:t>。</w:t>
      </w:r>
    </w:p>
    <w:p>
      <w:pPr>
        <w:pStyle w:val="11"/>
        <w:spacing w:after="60"/>
        <w:ind w:firstLine="800" w:firstLineChars="250"/>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2.交货地址：甲方指定地址。</w:t>
      </w:r>
    </w:p>
    <w:p>
      <w:pPr>
        <w:spacing w:line="360" w:lineRule="auto"/>
        <w:ind w:firstLine="800" w:firstLineChars="25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3.要求本次项目所采购的货物为全新的包装，由供应商安排专车运输。由此产生的运输费、安装费、税费等相关费用由乙方承担。</w:t>
      </w:r>
    </w:p>
    <w:p>
      <w:pPr>
        <w:snapToGrid w:val="0"/>
        <w:spacing w:line="360" w:lineRule="auto"/>
        <w:ind w:firstLine="800" w:firstLineChars="25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4.乙方提供不符合响应文件和本合同规定的货物，甲方有权拒绝接受。</w:t>
      </w:r>
    </w:p>
    <w:p>
      <w:pPr>
        <w:spacing w:line="360" w:lineRule="auto"/>
        <w:ind w:firstLine="800" w:firstLineChars="25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5.履约验收要求：要求本次项目所提供的货物为全新、合格的、满足本项目需求及要求的货物，并符合国家有关质量安全标准的产品；乙方提供的货物、服务必须经甲方验收，不符合甲方要求的，乙方应立即整改直至符合采购方要求，否则甲方不予结算。</w:t>
      </w:r>
    </w:p>
    <w:p>
      <w:pPr>
        <w:spacing w:line="360" w:lineRule="auto"/>
        <w:ind w:firstLine="803" w:firstLineChars="25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五、付款方式</w:t>
      </w:r>
    </w:p>
    <w:p>
      <w:pPr>
        <w:snapToGrid w:val="0"/>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1.资金性质：财政性资金。</w:t>
      </w:r>
    </w:p>
    <w:p>
      <w:pPr>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2.付款方式：验收合格后甲方支付货款，付款方式：银行转账支付。</w:t>
      </w:r>
    </w:p>
    <w:p>
      <w:pPr>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3.合同价应为现场交货价，包括：</w:t>
      </w:r>
    </w:p>
    <w:p>
      <w:pPr>
        <w:spacing w:line="360" w:lineRule="auto"/>
        <w:ind w:firstLine="480" w:firstLineChars="15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（1）货物及标准附件、备品备件、专用工具的价格。</w:t>
      </w:r>
    </w:p>
    <w:p>
      <w:pPr>
        <w:spacing w:line="360" w:lineRule="auto"/>
        <w:ind w:firstLine="480" w:firstLineChars="15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（2）运输、装卸、调试、培训、技术支持、售后服务等费用。</w:t>
      </w:r>
    </w:p>
    <w:p>
      <w:pPr>
        <w:spacing w:line="360" w:lineRule="auto"/>
        <w:ind w:firstLine="480" w:firstLineChars="15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（3）必要的保险费用、聘请专家费用和各项税费。</w:t>
      </w:r>
    </w:p>
    <w:p>
      <w:pPr>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4.乙方应就本合同约定的业务向甲方开具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六、税费</w:t>
      </w:r>
    </w:p>
    <w:p>
      <w:pPr>
        <w:snapToGrid w:val="0"/>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本合同执行中相关的一切税费均由乙方承担。</w:t>
      </w:r>
    </w:p>
    <w:p>
      <w:pPr>
        <w:snapToGrid w:val="0"/>
        <w:spacing w:line="360" w:lineRule="auto"/>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七、售后服务</w:t>
      </w:r>
    </w:p>
    <w:p>
      <w:pPr>
        <w:autoSpaceDE w:val="0"/>
        <w:autoSpaceDN w:val="0"/>
        <w:adjustRightInd w:val="0"/>
        <w:spacing w:line="360" w:lineRule="auto"/>
        <w:ind w:firstLine="640" w:firstLineChars="200"/>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乙方应</w:t>
      </w:r>
      <w:r>
        <w:rPr>
          <w:rFonts w:ascii="仿宋" w:hAnsi="仿宋" w:eastAsia="仿宋"/>
          <w:color w:val="000000" w:themeColor="text1"/>
          <w:kern w:val="0"/>
          <w:sz w:val="32"/>
          <w:szCs w:val="32"/>
          <w14:textFill>
            <w14:solidFill>
              <w14:schemeClr w14:val="tx1"/>
            </w14:solidFill>
          </w14:textFill>
        </w:rPr>
        <w:t>按国家有关规定及厂家承诺实行“三包”，要求</w:t>
      </w:r>
      <w:r>
        <w:rPr>
          <w:rFonts w:hint="eastAsia" w:ascii="仿宋" w:hAnsi="仿宋" w:eastAsia="仿宋"/>
          <w:color w:val="000000" w:themeColor="text1"/>
          <w:kern w:val="0"/>
          <w:sz w:val="32"/>
          <w:szCs w:val="32"/>
          <w14:textFill>
            <w14:solidFill>
              <w14:schemeClr w14:val="tx1"/>
            </w14:solidFill>
          </w14:textFill>
        </w:rPr>
        <w:t>负责</w:t>
      </w:r>
      <w:r>
        <w:rPr>
          <w:rFonts w:ascii="仿宋" w:hAnsi="仿宋" w:eastAsia="仿宋"/>
          <w:color w:val="000000" w:themeColor="text1"/>
          <w:kern w:val="0"/>
          <w:sz w:val="32"/>
          <w:szCs w:val="32"/>
          <w14:textFill>
            <w14:solidFill>
              <w14:schemeClr w14:val="tx1"/>
            </w14:solidFill>
          </w14:textFill>
        </w:rPr>
        <w:t>送货上门、安装调试至验收合格</w:t>
      </w:r>
      <w:r>
        <w:rPr>
          <w:rFonts w:hint="eastAsia" w:ascii="仿宋" w:hAnsi="仿宋" w:eastAsia="仿宋"/>
          <w:color w:val="000000" w:themeColor="text1"/>
          <w:kern w:val="0"/>
          <w:sz w:val="32"/>
          <w:szCs w:val="32"/>
          <w14:textFill>
            <w14:solidFill>
              <w14:schemeClr w14:val="tx1"/>
            </w14:solidFill>
          </w14:textFill>
        </w:rPr>
        <w:t>。</w:t>
      </w:r>
    </w:p>
    <w:p>
      <w:pPr>
        <w:autoSpaceDE w:val="0"/>
        <w:autoSpaceDN w:val="0"/>
        <w:adjustRightInd w:val="0"/>
        <w:spacing w:line="360" w:lineRule="auto"/>
        <w:ind w:firstLine="640" w:firstLineChars="200"/>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货物质保期：按乙方响应文件有关规定。</w:t>
      </w:r>
    </w:p>
    <w:p>
      <w:pPr>
        <w:snapToGrid w:val="0"/>
        <w:spacing w:line="360" w:lineRule="auto"/>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八、违约责任</w:t>
      </w:r>
    </w:p>
    <w:p>
      <w:pPr>
        <w:autoSpaceDN w:val="0"/>
        <w:spacing w:line="360" w:lineRule="auto"/>
        <w:ind w:firstLine="56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若乙方不能按合同要求时间交货、甲方不能按期付款，予以逾期一天万分之二合同总额处罚，最高不超过合同总额的5%。</w:t>
      </w:r>
    </w:p>
    <w:p>
      <w:pPr>
        <w:snapToGrid w:val="0"/>
        <w:spacing w:line="360" w:lineRule="auto"/>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九、不可抗力事件处理</w:t>
      </w:r>
    </w:p>
    <w:p>
      <w:pPr>
        <w:snapToGrid w:val="0"/>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1.在合同有效期内，任何一方因不可抗力事件导致不能履行合同，则合同履行期可延长，其延长期与不可抗力影响期相同。</w:t>
      </w:r>
    </w:p>
    <w:p>
      <w:pPr>
        <w:snapToGrid w:val="0"/>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2.不可抗力事件发生后，应立即通知对方，并寄送有关权威机构出具的证明。</w:t>
      </w:r>
    </w:p>
    <w:p>
      <w:pPr>
        <w:snapToGrid w:val="0"/>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3.不可抗力事件延续一百二十天以上，双方应通过友好协商，确定是否继续履行合同。</w:t>
      </w:r>
    </w:p>
    <w:p>
      <w:pPr>
        <w:pStyle w:val="77"/>
        <w:shd w:val="clear" w:color="auto" w:fill="FFFFFF"/>
        <w:adjustRightInd w:val="0"/>
        <w:snapToGrid w:val="0"/>
        <w:spacing w:before="0" w:beforeAutospacing="0" w:after="0" w:afterAutospacing="0" w:line="360" w:lineRule="auto"/>
        <w:ind w:firstLine="482" w:firstLineChars="15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十</w:t>
      </w:r>
      <w:r>
        <w:rPr>
          <w:rFonts w:hint="eastAsia" w:ascii="仿宋" w:hAnsi="仿宋" w:eastAsia="仿宋" w:cs="Times New Roman"/>
          <w:b/>
          <w:color w:val="000000" w:themeColor="text1"/>
          <w:kern w:val="2"/>
          <w:sz w:val="32"/>
          <w:szCs w:val="32"/>
          <w14:textFill>
            <w14:solidFill>
              <w14:schemeClr w14:val="tx1"/>
            </w14:solidFill>
          </w14:textFill>
        </w:rPr>
        <w:t>、争议解决方式</w:t>
      </w:r>
    </w:p>
    <w:p>
      <w:pPr>
        <w:autoSpaceDE w:val="0"/>
        <w:autoSpaceDN w:val="0"/>
        <w:adjustRightInd w:val="0"/>
        <w:spacing w:line="360" w:lineRule="auto"/>
        <w:ind w:firstLine="480" w:firstLineChars="150"/>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本合同在履行过程中，如发生争议，双方友好协商解决，如协商未达成一致，任何一方可向甲方所在地人民法院提起诉讼。</w:t>
      </w:r>
    </w:p>
    <w:p>
      <w:pPr>
        <w:snapToGrid w:val="0"/>
        <w:spacing w:line="360" w:lineRule="auto"/>
        <w:ind w:firstLine="472" w:firstLineChars="147"/>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十一、合同</w:t>
      </w:r>
      <w:r>
        <w:rPr>
          <w:rFonts w:ascii="仿宋" w:hAnsi="仿宋" w:eastAsia="仿宋"/>
          <w:b/>
          <w:color w:val="000000" w:themeColor="text1"/>
          <w:sz w:val="32"/>
          <w:szCs w:val="32"/>
          <w14:textFill>
            <w14:solidFill>
              <w14:schemeClr w14:val="tx1"/>
            </w14:solidFill>
          </w14:textFill>
        </w:rPr>
        <w:t>生效及</w:t>
      </w:r>
      <w:r>
        <w:rPr>
          <w:rFonts w:hint="eastAsia" w:ascii="仿宋" w:hAnsi="仿宋" w:eastAsia="仿宋"/>
          <w:b/>
          <w:color w:val="000000" w:themeColor="text1"/>
          <w:sz w:val="32"/>
          <w:szCs w:val="32"/>
          <w14:textFill>
            <w14:solidFill>
              <w14:schemeClr w14:val="tx1"/>
            </w14:solidFill>
          </w14:textFill>
        </w:rPr>
        <w:t>其他</w:t>
      </w:r>
    </w:p>
    <w:p>
      <w:pPr>
        <w:autoSpaceDE w:val="0"/>
        <w:autoSpaceDN w:val="0"/>
        <w:adjustRightInd w:val="0"/>
        <w:spacing w:line="360" w:lineRule="auto"/>
        <w:ind w:firstLine="640" w:firstLineChars="200"/>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1.本合同一式</w:t>
      </w:r>
      <w:r>
        <w:rPr>
          <w:rFonts w:hint="eastAsia" w:ascii="仿宋" w:hAnsi="仿宋" w:eastAsia="仿宋"/>
          <w:color w:val="000000" w:themeColor="text1"/>
          <w:kern w:val="0"/>
          <w:sz w:val="32"/>
          <w:szCs w:val="32"/>
          <w:u w:val="single"/>
          <w14:textFill>
            <w14:solidFill>
              <w14:schemeClr w14:val="tx1"/>
            </w14:solidFill>
          </w14:textFill>
        </w:rPr>
        <w:t>陆</w:t>
      </w:r>
      <w:r>
        <w:rPr>
          <w:rFonts w:hint="eastAsia" w:ascii="仿宋" w:hAnsi="仿宋" w:eastAsia="仿宋"/>
          <w:color w:val="000000" w:themeColor="text1"/>
          <w:kern w:val="0"/>
          <w:sz w:val="32"/>
          <w:szCs w:val="32"/>
          <w14:textFill>
            <w14:solidFill>
              <w14:schemeClr w14:val="tx1"/>
            </w14:solidFill>
          </w14:textFill>
        </w:rPr>
        <w:t>份，甲方</w:t>
      </w:r>
      <w:r>
        <w:rPr>
          <w:rFonts w:hint="eastAsia" w:ascii="仿宋" w:hAnsi="仿宋" w:eastAsia="仿宋"/>
          <w:color w:val="000000" w:themeColor="text1"/>
          <w:kern w:val="0"/>
          <w:sz w:val="32"/>
          <w:szCs w:val="32"/>
          <w:u w:val="single"/>
          <w14:textFill>
            <w14:solidFill>
              <w14:schemeClr w14:val="tx1"/>
            </w14:solidFill>
          </w14:textFill>
        </w:rPr>
        <w:t>肆</w:t>
      </w:r>
      <w:r>
        <w:rPr>
          <w:rFonts w:hint="eastAsia" w:ascii="仿宋" w:hAnsi="仿宋" w:eastAsia="仿宋"/>
          <w:color w:val="000000" w:themeColor="text1"/>
          <w:kern w:val="0"/>
          <w:sz w:val="32"/>
          <w:szCs w:val="32"/>
          <w14:textFill>
            <w14:solidFill>
              <w14:schemeClr w14:val="tx1"/>
            </w14:solidFill>
          </w14:textFill>
        </w:rPr>
        <w:t>份，乙方</w:t>
      </w:r>
      <w:r>
        <w:rPr>
          <w:rFonts w:hint="eastAsia" w:ascii="仿宋" w:hAnsi="仿宋" w:eastAsia="仿宋"/>
          <w:color w:val="000000" w:themeColor="text1"/>
          <w:kern w:val="0"/>
          <w:sz w:val="32"/>
          <w:szCs w:val="32"/>
          <w:u w:val="single"/>
          <w14:textFill>
            <w14:solidFill>
              <w14:schemeClr w14:val="tx1"/>
            </w14:solidFill>
          </w14:textFill>
        </w:rPr>
        <w:t>贰</w:t>
      </w:r>
      <w:r>
        <w:rPr>
          <w:rFonts w:hint="eastAsia" w:ascii="仿宋" w:hAnsi="仿宋" w:eastAsia="仿宋"/>
          <w:color w:val="000000" w:themeColor="text1"/>
          <w:kern w:val="0"/>
          <w:sz w:val="32"/>
          <w:szCs w:val="32"/>
          <w14:textFill>
            <w14:solidFill>
              <w14:schemeClr w14:val="tx1"/>
            </w14:solidFill>
          </w14:textFill>
        </w:rPr>
        <w:t>份，其他未尽事宜双方可协商签订补充协议，与本协议具有同等法律效力。</w:t>
      </w:r>
    </w:p>
    <w:p>
      <w:pPr>
        <w:autoSpaceDE w:val="0"/>
        <w:autoSpaceDN w:val="0"/>
        <w:adjustRightInd w:val="0"/>
        <w:spacing w:line="360" w:lineRule="auto"/>
        <w:ind w:firstLine="640" w:firstLineChars="200"/>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 xml:space="preserve">2.本合同甲乙双方签字盖章后生效。 </w:t>
      </w:r>
    </w:p>
    <w:tbl>
      <w:tblPr>
        <w:tblStyle w:val="18"/>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4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4487" w:type="dxa"/>
          </w:tcPr>
          <w:p>
            <w:pPr>
              <w:spacing w:line="360" w:lineRule="auto"/>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甲方(盖章)：</w:t>
            </w:r>
          </w:p>
          <w:p>
            <w:pPr>
              <w:spacing w:line="360" w:lineRule="auto"/>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 xml:space="preserve">法定代表人签字： </w:t>
            </w:r>
          </w:p>
          <w:p>
            <w:pPr>
              <w:spacing w:line="360" w:lineRule="auto"/>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或委托代理人：</w:t>
            </w:r>
          </w:p>
          <w:p>
            <w:pPr>
              <w:spacing w:line="360" w:lineRule="auto"/>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联系电话：</w:t>
            </w:r>
          </w:p>
          <w:p>
            <w:pPr>
              <w:pStyle w:val="17"/>
              <w:spacing w:line="360" w:lineRule="auto"/>
              <w:ind w:left="980" w:firstLine="320"/>
              <w:rPr>
                <w:rFonts w:ascii="仿宋" w:hAnsi="仿宋" w:eastAsia="仿宋"/>
                <w:color w:val="000000" w:themeColor="text1"/>
                <w:kern w:val="0"/>
                <w:sz w:val="32"/>
                <w:szCs w:val="32"/>
                <w14:textFill>
                  <w14:solidFill>
                    <w14:schemeClr w14:val="tx1"/>
                  </w14:solidFill>
                </w14:textFill>
              </w:rPr>
            </w:pPr>
          </w:p>
          <w:p>
            <w:pPr>
              <w:spacing w:line="360" w:lineRule="auto"/>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地址：</w:t>
            </w:r>
          </w:p>
          <w:p>
            <w:pPr>
              <w:pStyle w:val="17"/>
              <w:spacing w:line="360" w:lineRule="auto"/>
              <w:ind w:left="980" w:firstLine="320"/>
              <w:rPr>
                <w:rFonts w:ascii="仿宋" w:hAnsi="仿宋" w:eastAsia="仿宋"/>
                <w:color w:val="000000" w:themeColor="text1"/>
                <w:kern w:val="0"/>
                <w:sz w:val="32"/>
                <w:szCs w:val="32"/>
                <w14:textFill>
                  <w14:solidFill>
                    <w14:schemeClr w14:val="tx1"/>
                  </w14:solidFill>
                </w14:textFill>
              </w:rPr>
            </w:pPr>
          </w:p>
          <w:p>
            <w:pPr>
              <w:pStyle w:val="11"/>
              <w:spacing w:line="360" w:lineRule="auto"/>
              <w:ind w:firstLine="562"/>
              <w:rPr>
                <w:rFonts w:ascii="仿宋" w:hAnsi="仿宋" w:eastAsia="仿宋" w:cs="Times New Roman"/>
                <w:color w:val="000000" w:themeColor="text1"/>
                <w:kern w:val="0"/>
                <w:sz w:val="32"/>
                <w:szCs w:val="32"/>
                <w14:textFill>
                  <w14:solidFill>
                    <w14:schemeClr w14:val="tx1"/>
                  </w14:solidFill>
                </w14:textFill>
              </w:rPr>
            </w:pPr>
          </w:p>
          <w:p>
            <w:pPr>
              <w:pStyle w:val="11"/>
              <w:spacing w:line="360" w:lineRule="auto"/>
              <w:rPr>
                <w:rFonts w:ascii="仿宋" w:hAnsi="仿宋" w:eastAsia="仿宋" w:cs="Times New Roman"/>
                <w:color w:val="000000" w:themeColor="text1"/>
                <w:kern w:val="0"/>
                <w:sz w:val="32"/>
                <w:szCs w:val="32"/>
                <w14:textFill>
                  <w14:solidFill>
                    <w14:schemeClr w14:val="tx1"/>
                  </w14:solidFill>
                </w14:textFill>
              </w:rPr>
            </w:pPr>
          </w:p>
          <w:p>
            <w:pPr>
              <w:pStyle w:val="11"/>
              <w:spacing w:line="360" w:lineRule="auto"/>
              <w:rPr>
                <w:rFonts w:ascii="仿宋" w:hAnsi="仿宋" w:eastAsia="仿宋" w:cs="Times New Roman"/>
                <w:color w:val="000000" w:themeColor="text1"/>
                <w:kern w:val="0"/>
                <w:sz w:val="32"/>
                <w:szCs w:val="32"/>
                <w14:textFill>
                  <w14:solidFill>
                    <w14:schemeClr w14:val="tx1"/>
                  </w14:solidFill>
                </w14:textFill>
              </w:rPr>
            </w:pPr>
          </w:p>
          <w:p>
            <w:pPr>
              <w:pStyle w:val="11"/>
              <w:spacing w:line="360" w:lineRule="auto"/>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日期：    年   月   日</w:t>
            </w:r>
          </w:p>
        </w:tc>
        <w:tc>
          <w:tcPr>
            <w:tcW w:w="4441" w:type="dxa"/>
          </w:tcPr>
          <w:p>
            <w:pPr>
              <w:spacing w:line="360" w:lineRule="auto"/>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 xml:space="preserve">乙方(盖章）：  </w:t>
            </w:r>
          </w:p>
          <w:p>
            <w:pPr>
              <w:spacing w:line="360" w:lineRule="auto"/>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 xml:space="preserve">法定代表人签字： </w:t>
            </w:r>
          </w:p>
          <w:p>
            <w:pPr>
              <w:spacing w:line="360" w:lineRule="auto"/>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或委托代理人：</w:t>
            </w:r>
          </w:p>
          <w:p>
            <w:pPr>
              <w:spacing w:line="360" w:lineRule="auto"/>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开户行：</w:t>
            </w:r>
          </w:p>
          <w:p>
            <w:pPr>
              <w:spacing w:line="360" w:lineRule="auto"/>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银行账号：</w:t>
            </w:r>
          </w:p>
          <w:p>
            <w:pPr>
              <w:spacing w:line="360" w:lineRule="auto"/>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联系电话：</w:t>
            </w:r>
          </w:p>
          <w:p>
            <w:pPr>
              <w:spacing w:line="360" w:lineRule="auto"/>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地址：</w:t>
            </w:r>
          </w:p>
          <w:p>
            <w:pPr>
              <w:spacing w:line="360" w:lineRule="auto"/>
              <w:jc w:val="left"/>
              <w:rPr>
                <w:rFonts w:ascii="仿宋" w:hAnsi="仿宋" w:eastAsia="仿宋"/>
                <w:color w:val="000000" w:themeColor="text1"/>
                <w:kern w:val="0"/>
                <w:sz w:val="32"/>
                <w:szCs w:val="32"/>
                <w14:textFill>
                  <w14:solidFill>
                    <w14:schemeClr w14:val="tx1"/>
                  </w14:solidFill>
                </w14:textFill>
              </w:rPr>
            </w:pPr>
          </w:p>
          <w:p>
            <w:pPr>
              <w:spacing w:line="360" w:lineRule="auto"/>
              <w:jc w:val="left"/>
              <w:rPr>
                <w:rFonts w:ascii="仿宋" w:hAnsi="仿宋" w:eastAsia="仿宋"/>
                <w:color w:val="000000" w:themeColor="text1"/>
                <w:kern w:val="0"/>
                <w:sz w:val="32"/>
                <w:szCs w:val="32"/>
                <w14:textFill>
                  <w14:solidFill>
                    <w14:schemeClr w14:val="tx1"/>
                  </w14:solidFill>
                </w14:textFill>
              </w:rPr>
            </w:pPr>
          </w:p>
          <w:p>
            <w:pPr>
              <w:spacing w:line="360" w:lineRule="auto"/>
              <w:jc w:val="left"/>
              <w:rPr>
                <w:rFonts w:ascii="仿宋" w:hAnsi="仿宋" w:eastAsia="仿宋"/>
                <w:color w:val="000000" w:themeColor="text1"/>
                <w:kern w:val="0"/>
                <w:sz w:val="32"/>
                <w:szCs w:val="32"/>
                <w14:textFill>
                  <w14:solidFill>
                    <w14:schemeClr w14:val="tx1"/>
                  </w14:solidFill>
                </w14:textFill>
              </w:rPr>
            </w:pPr>
          </w:p>
          <w:p>
            <w:pPr>
              <w:spacing w:line="360" w:lineRule="auto"/>
              <w:jc w:val="left"/>
              <w:rPr>
                <w:rFonts w:ascii="仿宋" w:hAnsi="仿宋" w:eastAsia="仿宋"/>
                <w:color w:val="000000" w:themeColor="text1"/>
                <w:kern w:val="0"/>
                <w:sz w:val="32"/>
                <w:szCs w:val="32"/>
                <w14:textFill>
                  <w14:solidFill>
                    <w14:schemeClr w14:val="tx1"/>
                  </w14:solidFill>
                </w14:textFill>
              </w:rPr>
            </w:pPr>
          </w:p>
          <w:p>
            <w:pPr>
              <w:spacing w:line="360" w:lineRule="auto"/>
              <w:jc w:val="left"/>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日期：    年   月   日</w:t>
            </w:r>
          </w:p>
        </w:tc>
      </w:tr>
    </w:tbl>
    <w:p>
      <w:pPr>
        <w:spacing w:line="360" w:lineRule="auto"/>
        <w:rPr>
          <w:rFonts w:ascii="仿宋" w:hAnsi="仿宋" w:eastAsia="仿宋"/>
          <w:kern w:val="0"/>
          <w:sz w:val="32"/>
          <w:szCs w:val="32"/>
        </w:rPr>
      </w:pPr>
    </w:p>
    <w:p>
      <w:pPr>
        <w:snapToGrid w:val="0"/>
        <w:ind w:firstLine="560" w:firstLineChars="200"/>
        <w:rPr>
          <w:rFonts w:ascii="仿宋" w:hAnsi="仿宋" w:eastAsia="仿宋" w:cs="仿宋"/>
          <w:sz w:val="28"/>
          <w:szCs w:val="28"/>
        </w:rPr>
      </w:pPr>
    </w:p>
    <w:p>
      <w:pPr>
        <w:pStyle w:val="4"/>
        <w:jc w:val="center"/>
        <w:rPr>
          <w:rFonts w:asciiTheme="majorEastAsia" w:hAnsiTheme="majorEastAsia" w:eastAsiaTheme="majorEastAsia"/>
          <w:b w:val="0"/>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BD76084-F0D7-4C72-BCD8-EC12C2D03059}"/>
  </w:font>
  <w:font w:name="黑体">
    <w:panose1 w:val="02010609060101010101"/>
    <w:charset w:val="86"/>
    <w:family w:val="auto"/>
    <w:pitch w:val="default"/>
    <w:sig w:usb0="800002BF" w:usb1="38CF7CFA" w:usb2="00000016" w:usb3="00000000" w:csb0="00040001" w:csb1="00000000"/>
    <w:embedRegular r:id="rId2" w:fontKey="{8E1B1781-7D82-4CC7-A2A0-BFB1F7F230AB}"/>
  </w:font>
  <w:font w:name="Courier New">
    <w:panose1 w:val="02070309020205020404"/>
    <w:charset w:val="01"/>
    <w:family w:val="modern"/>
    <w:pitch w:val="default"/>
    <w:sig w:usb0="E0002AFF" w:usb1="C0007843" w:usb2="00000009" w:usb3="00000000" w:csb0="400001FF" w:csb1="FFFF0000"/>
    <w:embedRegular r:id="rId3" w:fontKey="{C5E39669-0C46-41DA-92D3-EE5E603F3DC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altName w:val="微软雅黑"/>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embedRegular r:id="rId4" w:fontKey="{27B72D62-D1EC-456D-BC1C-7FE9D07AE65B}"/>
  </w:font>
  <w:font w:name="方正小标宋简体">
    <w:panose1 w:val="03000509000000000000"/>
    <w:charset w:val="86"/>
    <w:family w:val="script"/>
    <w:pitch w:val="default"/>
    <w:sig w:usb0="00000001" w:usb1="080E0000" w:usb2="00000000" w:usb3="00000000" w:csb0="00040000" w:csb1="00000000"/>
    <w:embedRegular r:id="rId5" w:fontKey="{D99C2CED-C57A-42BA-832C-644AE5D3979D}"/>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7</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aEKcWsEBAACNAwAADgAAAAAAAAABACAAAAAeAQAAZHJzL2Uyb0RvYy54bWxQSwUG&#10;AAAAAAYABgBZAQAAUQU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OGRjY2EwZmE0ZTQwNWNiNTJhYmVjM2VkYzhkMzM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68A4"/>
    <w:rsid w:val="000909C5"/>
    <w:rsid w:val="00090E04"/>
    <w:rsid w:val="00091CF6"/>
    <w:rsid w:val="000A1481"/>
    <w:rsid w:val="000A2FC3"/>
    <w:rsid w:val="000B1FE7"/>
    <w:rsid w:val="000C08AC"/>
    <w:rsid w:val="000D3908"/>
    <w:rsid w:val="000D5F6A"/>
    <w:rsid w:val="000D6B2F"/>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0C09"/>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39A0"/>
    <w:rsid w:val="00514ED9"/>
    <w:rsid w:val="0051560A"/>
    <w:rsid w:val="00520D3C"/>
    <w:rsid w:val="00523283"/>
    <w:rsid w:val="00534042"/>
    <w:rsid w:val="00535864"/>
    <w:rsid w:val="0054214C"/>
    <w:rsid w:val="00543CB8"/>
    <w:rsid w:val="0055154D"/>
    <w:rsid w:val="00553B01"/>
    <w:rsid w:val="0055535A"/>
    <w:rsid w:val="005631A8"/>
    <w:rsid w:val="00563EE2"/>
    <w:rsid w:val="00566847"/>
    <w:rsid w:val="005758A2"/>
    <w:rsid w:val="005760B1"/>
    <w:rsid w:val="00587785"/>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739F"/>
    <w:rsid w:val="006D46C4"/>
    <w:rsid w:val="006E17D9"/>
    <w:rsid w:val="006F0F43"/>
    <w:rsid w:val="006F5487"/>
    <w:rsid w:val="00701CFA"/>
    <w:rsid w:val="00703718"/>
    <w:rsid w:val="00705D71"/>
    <w:rsid w:val="00707065"/>
    <w:rsid w:val="00714CDC"/>
    <w:rsid w:val="0071671A"/>
    <w:rsid w:val="00717151"/>
    <w:rsid w:val="00724D9A"/>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0963"/>
    <w:rsid w:val="007E66F8"/>
    <w:rsid w:val="007F0568"/>
    <w:rsid w:val="007F077D"/>
    <w:rsid w:val="007F2C4E"/>
    <w:rsid w:val="007F645A"/>
    <w:rsid w:val="00802DD5"/>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F3CD1"/>
    <w:rsid w:val="0090100E"/>
    <w:rsid w:val="00904BBA"/>
    <w:rsid w:val="009050BE"/>
    <w:rsid w:val="00916052"/>
    <w:rsid w:val="00916876"/>
    <w:rsid w:val="00923140"/>
    <w:rsid w:val="0092798F"/>
    <w:rsid w:val="00933E62"/>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15C4F"/>
    <w:rsid w:val="00A20782"/>
    <w:rsid w:val="00A26426"/>
    <w:rsid w:val="00A35231"/>
    <w:rsid w:val="00A37E79"/>
    <w:rsid w:val="00A40C30"/>
    <w:rsid w:val="00A43622"/>
    <w:rsid w:val="00A502E5"/>
    <w:rsid w:val="00A52261"/>
    <w:rsid w:val="00A537E8"/>
    <w:rsid w:val="00A541B8"/>
    <w:rsid w:val="00A746E7"/>
    <w:rsid w:val="00A828D9"/>
    <w:rsid w:val="00A87F18"/>
    <w:rsid w:val="00A90591"/>
    <w:rsid w:val="00A94362"/>
    <w:rsid w:val="00A94A04"/>
    <w:rsid w:val="00AA2A38"/>
    <w:rsid w:val="00AA329C"/>
    <w:rsid w:val="00AA6D85"/>
    <w:rsid w:val="00AB07BA"/>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2B57"/>
    <w:rsid w:val="00BB55F7"/>
    <w:rsid w:val="00BC6A28"/>
    <w:rsid w:val="00BD013D"/>
    <w:rsid w:val="00BD24CE"/>
    <w:rsid w:val="00BE1199"/>
    <w:rsid w:val="00BE68B8"/>
    <w:rsid w:val="00BF5BE7"/>
    <w:rsid w:val="00C01099"/>
    <w:rsid w:val="00C03A97"/>
    <w:rsid w:val="00C06195"/>
    <w:rsid w:val="00C11067"/>
    <w:rsid w:val="00C134A4"/>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4A76"/>
    <w:rsid w:val="00CC5837"/>
    <w:rsid w:val="00CD16CC"/>
    <w:rsid w:val="00CD292A"/>
    <w:rsid w:val="00CD6F63"/>
    <w:rsid w:val="00CE0537"/>
    <w:rsid w:val="00CE511C"/>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87C4A"/>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3CE3"/>
    <w:rsid w:val="00E00C1A"/>
    <w:rsid w:val="00E034AA"/>
    <w:rsid w:val="00E053BE"/>
    <w:rsid w:val="00E14981"/>
    <w:rsid w:val="00E17D9A"/>
    <w:rsid w:val="00E21177"/>
    <w:rsid w:val="00E337F9"/>
    <w:rsid w:val="00E34BBE"/>
    <w:rsid w:val="00E46AD2"/>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E0575"/>
    <w:rsid w:val="00EF4C4A"/>
    <w:rsid w:val="00EF5203"/>
    <w:rsid w:val="00F0440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E786C"/>
    <w:rsid w:val="00FE7E1C"/>
    <w:rsid w:val="00FF12DB"/>
    <w:rsid w:val="00FF5260"/>
    <w:rsid w:val="00FF74D4"/>
    <w:rsid w:val="02BF46E1"/>
    <w:rsid w:val="02D7310A"/>
    <w:rsid w:val="02F72AEC"/>
    <w:rsid w:val="03342D85"/>
    <w:rsid w:val="034251CB"/>
    <w:rsid w:val="038D79B7"/>
    <w:rsid w:val="042F4875"/>
    <w:rsid w:val="044E0D5F"/>
    <w:rsid w:val="047D1B6E"/>
    <w:rsid w:val="04BF260B"/>
    <w:rsid w:val="04D9059E"/>
    <w:rsid w:val="060A7F0C"/>
    <w:rsid w:val="095D7F5D"/>
    <w:rsid w:val="097B2056"/>
    <w:rsid w:val="09D744B4"/>
    <w:rsid w:val="09D9449F"/>
    <w:rsid w:val="0A107177"/>
    <w:rsid w:val="0B3C41F9"/>
    <w:rsid w:val="0B4453CD"/>
    <w:rsid w:val="0B952ADC"/>
    <w:rsid w:val="0BB95CBE"/>
    <w:rsid w:val="0C453A64"/>
    <w:rsid w:val="0CDF060C"/>
    <w:rsid w:val="0D4E1EA3"/>
    <w:rsid w:val="0D664E43"/>
    <w:rsid w:val="0DBB266A"/>
    <w:rsid w:val="0DD036B5"/>
    <w:rsid w:val="0E4E6357"/>
    <w:rsid w:val="0E524011"/>
    <w:rsid w:val="0E986FCF"/>
    <w:rsid w:val="0FC85F3C"/>
    <w:rsid w:val="10030D22"/>
    <w:rsid w:val="106F0560"/>
    <w:rsid w:val="10E54153"/>
    <w:rsid w:val="114F7185"/>
    <w:rsid w:val="1213761F"/>
    <w:rsid w:val="123B2B57"/>
    <w:rsid w:val="13154713"/>
    <w:rsid w:val="1419499F"/>
    <w:rsid w:val="14E5401B"/>
    <w:rsid w:val="15A57173"/>
    <w:rsid w:val="163D0D06"/>
    <w:rsid w:val="167364D6"/>
    <w:rsid w:val="167A1613"/>
    <w:rsid w:val="174C2235"/>
    <w:rsid w:val="188718D8"/>
    <w:rsid w:val="189015C1"/>
    <w:rsid w:val="19324A4D"/>
    <w:rsid w:val="19B17A41"/>
    <w:rsid w:val="19B72B7E"/>
    <w:rsid w:val="1A6B5E42"/>
    <w:rsid w:val="1C142CB3"/>
    <w:rsid w:val="1C4E4B30"/>
    <w:rsid w:val="1C5B5A42"/>
    <w:rsid w:val="1CFD47D3"/>
    <w:rsid w:val="1D602818"/>
    <w:rsid w:val="1D734FDD"/>
    <w:rsid w:val="1D8826E6"/>
    <w:rsid w:val="1DFC5B31"/>
    <w:rsid w:val="1FE65F6B"/>
    <w:rsid w:val="20817E50"/>
    <w:rsid w:val="220D5A31"/>
    <w:rsid w:val="22CA56D0"/>
    <w:rsid w:val="23FD207E"/>
    <w:rsid w:val="241430A6"/>
    <w:rsid w:val="24D36535"/>
    <w:rsid w:val="25775188"/>
    <w:rsid w:val="272A7D7D"/>
    <w:rsid w:val="27515CDC"/>
    <w:rsid w:val="280E605F"/>
    <w:rsid w:val="2AD43590"/>
    <w:rsid w:val="2B7E34FB"/>
    <w:rsid w:val="2BA61F9C"/>
    <w:rsid w:val="2BB81936"/>
    <w:rsid w:val="2D3C23FE"/>
    <w:rsid w:val="2EB16F5A"/>
    <w:rsid w:val="2F204299"/>
    <w:rsid w:val="2FA85F14"/>
    <w:rsid w:val="2FCB33F0"/>
    <w:rsid w:val="309C68FD"/>
    <w:rsid w:val="31360F6B"/>
    <w:rsid w:val="332A03DF"/>
    <w:rsid w:val="33641268"/>
    <w:rsid w:val="33A15FD9"/>
    <w:rsid w:val="340C0F9D"/>
    <w:rsid w:val="343706EB"/>
    <w:rsid w:val="35415CC5"/>
    <w:rsid w:val="35793114"/>
    <w:rsid w:val="358F5DF9"/>
    <w:rsid w:val="35B868BA"/>
    <w:rsid w:val="36A73799"/>
    <w:rsid w:val="37240250"/>
    <w:rsid w:val="38593326"/>
    <w:rsid w:val="392E0F65"/>
    <w:rsid w:val="39F552D0"/>
    <w:rsid w:val="3BD771D7"/>
    <w:rsid w:val="3BF055E2"/>
    <w:rsid w:val="3D931088"/>
    <w:rsid w:val="3DDA730B"/>
    <w:rsid w:val="3DE17339"/>
    <w:rsid w:val="3DE22C35"/>
    <w:rsid w:val="3E646B18"/>
    <w:rsid w:val="3EC2015A"/>
    <w:rsid w:val="3F5D00D8"/>
    <w:rsid w:val="3F7C0431"/>
    <w:rsid w:val="3FA8698D"/>
    <w:rsid w:val="3FFD2EB8"/>
    <w:rsid w:val="40B94D77"/>
    <w:rsid w:val="411B434D"/>
    <w:rsid w:val="41CF79BE"/>
    <w:rsid w:val="42560CE2"/>
    <w:rsid w:val="42595F30"/>
    <w:rsid w:val="42810A13"/>
    <w:rsid w:val="42BD5522"/>
    <w:rsid w:val="430F3A6E"/>
    <w:rsid w:val="43340C18"/>
    <w:rsid w:val="435412BA"/>
    <w:rsid w:val="43A47936"/>
    <w:rsid w:val="44150A49"/>
    <w:rsid w:val="448C54BB"/>
    <w:rsid w:val="44A4066B"/>
    <w:rsid w:val="4512577F"/>
    <w:rsid w:val="453C0257"/>
    <w:rsid w:val="45467DAC"/>
    <w:rsid w:val="46D9135D"/>
    <w:rsid w:val="47887B38"/>
    <w:rsid w:val="48C875BA"/>
    <w:rsid w:val="49115557"/>
    <w:rsid w:val="4A1B362C"/>
    <w:rsid w:val="4A3E237C"/>
    <w:rsid w:val="4A787F9A"/>
    <w:rsid w:val="4A8F5981"/>
    <w:rsid w:val="4C383A5C"/>
    <w:rsid w:val="4C7E43AB"/>
    <w:rsid w:val="4DFD6E89"/>
    <w:rsid w:val="4E2D2E33"/>
    <w:rsid w:val="4FF9082B"/>
    <w:rsid w:val="50EE68AA"/>
    <w:rsid w:val="51BD001C"/>
    <w:rsid w:val="535B23F4"/>
    <w:rsid w:val="543D3774"/>
    <w:rsid w:val="54AA0992"/>
    <w:rsid w:val="56BC6B02"/>
    <w:rsid w:val="577675F9"/>
    <w:rsid w:val="59576FB6"/>
    <w:rsid w:val="597E09E7"/>
    <w:rsid w:val="59B7586F"/>
    <w:rsid w:val="5A861E4C"/>
    <w:rsid w:val="5AD5570C"/>
    <w:rsid w:val="5B57504B"/>
    <w:rsid w:val="5B7F45A2"/>
    <w:rsid w:val="5C175CF0"/>
    <w:rsid w:val="5C711A3B"/>
    <w:rsid w:val="5C7D2BB8"/>
    <w:rsid w:val="5DD76583"/>
    <w:rsid w:val="5DD80DC3"/>
    <w:rsid w:val="5DDB56A4"/>
    <w:rsid w:val="5E5925BD"/>
    <w:rsid w:val="5E5F4EE4"/>
    <w:rsid w:val="5E9B6682"/>
    <w:rsid w:val="5EC11A00"/>
    <w:rsid w:val="5F180F96"/>
    <w:rsid w:val="5F822615"/>
    <w:rsid w:val="5F9415EA"/>
    <w:rsid w:val="60CD4D9A"/>
    <w:rsid w:val="60D97336"/>
    <w:rsid w:val="60F14539"/>
    <w:rsid w:val="611D46BE"/>
    <w:rsid w:val="614C629E"/>
    <w:rsid w:val="61877154"/>
    <w:rsid w:val="61994610"/>
    <w:rsid w:val="635C141B"/>
    <w:rsid w:val="64746C6E"/>
    <w:rsid w:val="64A84B6A"/>
    <w:rsid w:val="65106A2E"/>
    <w:rsid w:val="653B572C"/>
    <w:rsid w:val="65586590"/>
    <w:rsid w:val="66965720"/>
    <w:rsid w:val="67680CC1"/>
    <w:rsid w:val="678E6299"/>
    <w:rsid w:val="6840387F"/>
    <w:rsid w:val="68E454D3"/>
    <w:rsid w:val="69F34AD9"/>
    <w:rsid w:val="6AAC36BF"/>
    <w:rsid w:val="6B340066"/>
    <w:rsid w:val="6C501A07"/>
    <w:rsid w:val="6C8E0AE9"/>
    <w:rsid w:val="6F9603E0"/>
    <w:rsid w:val="719170B1"/>
    <w:rsid w:val="71B64AE3"/>
    <w:rsid w:val="71BD19EB"/>
    <w:rsid w:val="721D203F"/>
    <w:rsid w:val="72361A07"/>
    <w:rsid w:val="72435ED2"/>
    <w:rsid w:val="726142B1"/>
    <w:rsid w:val="727A5D97"/>
    <w:rsid w:val="72820D88"/>
    <w:rsid w:val="73075151"/>
    <w:rsid w:val="73457EEE"/>
    <w:rsid w:val="73A23E26"/>
    <w:rsid w:val="73DC213A"/>
    <w:rsid w:val="746A6B1A"/>
    <w:rsid w:val="75206F1D"/>
    <w:rsid w:val="7578360E"/>
    <w:rsid w:val="75B23186"/>
    <w:rsid w:val="76C515AB"/>
    <w:rsid w:val="778154D2"/>
    <w:rsid w:val="77D74E5D"/>
    <w:rsid w:val="77D93692"/>
    <w:rsid w:val="79C30143"/>
    <w:rsid w:val="7A100ABE"/>
    <w:rsid w:val="7A98194F"/>
    <w:rsid w:val="7B5E3716"/>
    <w:rsid w:val="7BA81A06"/>
    <w:rsid w:val="7BC77C70"/>
    <w:rsid w:val="7C190257"/>
    <w:rsid w:val="7C631F69"/>
    <w:rsid w:val="7C7C0683"/>
    <w:rsid w:val="7C9E6B26"/>
    <w:rsid w:val="7CA54A9F"/>
    <w:rsid w:val="7CB44B57"/>
    <w:rsid w:val="7D1F3A60"/>
    <w:rsid w:val="7E594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link w:val="74"/>
    <w:qFormat/>
    <w:uiPriority w:val="9"/>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Calibri" w:hAnsi="Calibri"/>
      <w:szCs w:val="20"/>
    </w:rPr>
  </w:style>
  <w:style w:type="paragraph" w:styleId="6">
    <w:name w:val="table of authorities"/>
    <w:basedOn w:val="1"/>
    <w:next w:val="1"/>
    <w:unhideWhenUsed/>
    <w:qFormat/>
    <w:uiPriority w:val="99"/>
    <w:pPr>
      <w:ind w:left="420" w:leftChars="200"/>
    </w:pPr>
  </w:style>
  <w:style w:type="paragraph" w:styleId="7">
    <w:name w:val="annotation text"/>
    <w:basedOn w:val="1"/>
    <w:semiHidden/>
    <w:unhideWhenUsed/>
    <w:qFormat/>
    <w:uiPriority w:val="99"/>
    <w:pPr>
      <w:jc w:val="left"/>
    </w:pPr>
  </w:style>
  <w:style w:type="paragraph" w:styleId="8">
    <w:name w:val="Body Text"/>
    <w:basedOn w:val="1"/>
    <w:next w:val="9"/>
    <w:link w:val="75"/>
    <w:unhideWhenUsed/>
    <w:qFormat/>
    <w:uiPriority w:val="99"/>
    <w:pPr>
      <w:spacing w:after="120"/>
    </w:pPr>
  </w:style>
  <w:style w:type="paragraph" w:customStyle="1" w:styleId="9">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10">
    <w:name w:val="Body Text Indent"/>
    <w:basedOn w:val="1"/>
    <w:link w:val="72"/>
    <w:qFormat/>
    <w:uiPriority w:val="0"/>
    <w:pPr>
      <w:ind w:firstLine="830" w:firstLineChars="352"/>
    </w:pPr>
    <w:rPr>
      <w:rFonts w:ascii="仿宋_GB2312" w:eastAsia="仿宋_GB2312"/>
      <w:sz w:val="32"/>
      <w:szCs w:val="20"/>
    </w:rPr>
  </w:style>
  <w:style w:type="paragraph" w:styleId="11">
    <w:name w:val="Plain Text"/>
    <w:basedOn w:val="1"/>
    <w:next w:val="5"/>
    <w:link w:val="71"/>
    <w:qFormat/>
    <w:uiPriority w:val="0"/>
    <w:rPr>
      <w:rFonts w:ascii="宋体" w:hAnsi="Courier New" w:cs="Courier New"/>
      <w:szCs w:val="21"/>
    </w:rPr>
  </w:style>
  <w:style w:type="paragraph" w:styleId="12">
    <w:name w:val="Balloon Text"/>
    <w:basedOn w:val="1"/>
    <w:link w:val="69"/>
    <w:semiHidden/>
    <w:unhideWhenUsed/>
    <w:qFormat/>
    <w:uiPriority w:val="99"/>
    <w:rPr>
      <w:sz w:val="18"/>
      <w:szCs w:val="18"/>
    </w:rPr>
  </w:style>
  <w:style w:type="paragraph" w:styleId="13">
    <w:name w:val="footer"/>
    <w:basedOn w:val="1"/>
    <w:link w:val="34"/>
    <w:unhideWhenUsed/>
    <w:qFormat/>
    <w:uiPriority w:val="99"/>
    <w:pPr>
      <w:tabs>
        <w:tab w:val="center" w:pos="4153"/>
        <w:tab w:val="right" w:pos="8306"/>
      </w:tabs>
      <w:snapToGrid w:val="0"/>
      <w:jc w:val="left"/>
    </w:pPr>
    <w:rPr>
      <w:sz w:val="18"/>
      <w:szCs w:val="18"/>
    </w:rPr>
  </w:style>
  <w:style w:type="paragraph" w:styleId="14">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able of figures"/>
    <w:basedOn w:val="1"/>
    <w:next w:val="1"/>
    <w:unhideWhenUsed/>
    <w:qFormat/>
    <w:uiPriority w:val="0"/>
    <w:pPr>
      <w:ind w:left="200" w:leftChars="200" w:hanging="200" w:hangingChars="200"/>
    </w:pPr>
    <w:rPr>
      <w:sz w:val="28"/>
    </w:rPr>
  </w:style>
  <w:style w:type="paragraph" w:styleId="17">
    <w:name w:val="Body Text First Indent"/>
    <w:basedOn w:val="8"/>
    <w:link w:val="76"/>
    <w:semiHidden/>
    <w:unhideWhenUsed/>
    <w:qFormat/>
    <w:uiPriority w:val="99"/>
    <w:pPr>
      <w:ind w:firstLine="420" w:firstLineChars="100"/>
    </w:pPr>
  </w:style>
  <w:style w:type="table" w:styleId="19">
    <w:name w:val="Table Grid"/>
    <w:basedOn w:val="18"/>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1">
    <w:name w:val="Strong"/>
    <w:basedOn w:val="20"/>
    <w:qFormat/>
    <w:uiPriority w:val="22"/>
    <w:rPr>
      <w:b/>
      <w:bCs/>
    </w:rPr>
  </w:style>
  <w:style w:type="character" w:styleId="22">
    <w:name w:val="page number"/>
    <w:qFormat/>
    <w:uiPriority w:val="0"/>
    <w:rPr>
      <w:rFonts w:ascii="Times New Roman" w:hAnsi="Times New Roman" w:eastAsia="宋体" w:cs="Times New Roman"/>
    </w:rPr>
  </w:style>
  <w:style w:type="character" w:styleId="23">
    <w:name w:val="FollowedHyperlink"/>
    <w:basedOn w:val="20"/>
    <w:semiHidden/>
    <w:unhideWhenUsed/>
    <w:qFormat/>
    <w:uiPriority w:val="99"/>
    <w:rPr>
      <w:color w:val="800080"/>
      <w:u w:val="single"/>
    </w:rPr>
  </w:style>
  <w:style w:type="character" w:styleId="24">
    <w:name w:val="HTML Definition"/>
    <w:basedOn w:val="20"/>
    <w:semiHidden/>
    <w:unhideWhenUsed/>
    <w:qFormat/>
    <w:uiPriority w:val="99"/>
    <w:rPr>
      <w:i/>
      <w:iCs/>
    </w:rPr>
  </w:style>
  <w:style w:type="character" w:styleId="25">
    <w:name w:val="HTML Acronym"/>
    <w:basedOn w:val="20"/>
    <w:semiHidden/>
    <w:unhideWhenUsed/>
    <w:qFormat/>
    <w:uiPriority w:val="99"/>
  </w:style>
  <w:style w:type="character" w:styleId="26">
    <w:name w:val="HTML Variable"/>
    <w:basedOn w:val="20"/>
    <w:semiHidden/>
    <w:unhideWhenUsed/>
    <w:qFormat/>
    <w:uiPriority w:val="99"/>
  </w:style>
  <w:style w:type="character" w:styleId="27">
    <w:name w:val="Hyperlink"/>
    <w:basedOn w:val="20"/>
    <w:semiHidden/>
    <w:unhideWhenUsed/>
    <w:qFormat/>
    <w:uiPriority w:val="99"/>
    <w:rPr>
      <w:color w:val="0000FF"/>
      <w:u w:val="single"/>
    </w:rPr>
  </w:style>
  <w:style w:type="character" w:styleId="28">
    <w:name w:val="HTML Code"/>
    <w:basedOn w:val="20"/>
    <w:semiHidden/>
    <w:unhideWhenUsed/>
    <w:qFormat/>
    <w:uiPriority w:val="99"/>
    <w:rPr>
      <w:rFonts w:hint="default" w:ascii="serif" w:hAnsi="serif" w:eastAsia="serif" w:cs="serif"/>
      <w:sz w:val="21"/>
      <w:szCs w:val="21"/>
    </w:rPr>
  </w:style>
  <w:style w:type="character" w:styleId="29">
    <w:name w:val="annotation reference"/>
    <w:basedOn w:val="20"/>
    <w:semiHidden/>
    <w:unhideWhenUsed/>
    <w:qFormat/>
    <w:uiPriority w:val="99"/>
    <w:rPr>
      <w:sz w:val="21"/>
      <w:szCs w:val="21"/>
    </w:rPr>
  </w:style>
  <w:style w:type="character" w:styleId="30">
    <w:name w:val="HTML Cite"/>
    <w:basedOn w:val="20"/>
    <w:semiHidden/>
    <w:unhideWhenUsed/>
    <w:qFormat/>
    <w:uiPriority w:val="99"/>
  </w:style>
  <w:style w:type="character" w:styleId="31">
    <w:name w:val="HTML Keyboard"/>
    <w:basedOn w:val="20"/>
    <w:semiHidden/>
    <w:unhideWhenUsed/>
    <w:qFormat/>
    <w:uiPriority w:val="99"/>
    <w:rPr>
      <w:rFonts w:hint="default" w:ascii="serif" w:hAnsi="serif" w:eastAsia="serif" w:cs="serif"/>
      <w:sz w:val="21"/>
      <w:szCs w:val="21"/>
    </w:rPr>
  </w:style>
  <w:style w:type="character" w:styleId="32">
    <w:name w:val="HTML Sample"/>
    <w:basedOn w:val="20"/>
    <w:semiHidden/>
    <w:unhideWhenUsed/>
    <w:qFormat/>
    <w:uiPriority w:val="99"/>
    <w:rPr>
      <w:rFonts w:ascii="serif" w:hAnsi="serif" w:eastAsia="serif" w:cs="serif"/>
      <w:sz w:val="21"/>
      <w:szCs w:val="21"/>
    </w:rPr>
  </w:style>
  <w:style w:type="character" w:customStyle="1" w:styleId="33">
    <w:name w:val="页眉 字符"/>
    <w:basedOn w:val="20"/>
    <w:link w:val="14"/>
    <w:qFormat/>
    <w:uiPriority w:val="99"/>
    <w:rPr>
      <w:sz w:val="18"/>
      <w:szCs w:val="18"/>
    </w:rPr>
  </w:style>
  <w:style w:type="character" w:customStyle="1" w:styleId="34">
    <w:name w:val="页脚 字符"/>
    <w:basedOn w:val="20"/>
    <w:link w:val="13"/>
    <w:qFormat/>
    <w:uiPriority w:val="99"/>
    <w:rPr>
      <w:sz w:val="18"/>
      <w:szCs w:val="18"/>
    </w:rPr>
  </w:style>
  <w:style w:type="paragraph" w:customStyle="1" w:styleId="3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4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4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4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4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50">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5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5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5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7">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8">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9">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6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6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6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63">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6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66">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6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68">
    <w:name w:val="List Paragraph"/>
    <w:basedOn w:val="1"/>
    <w:qFormat/>
    <w:uiPriority w:val="34"/>
    <w:pPr>
      <w:ind w:firstLine="420" w:firstLineChars="200"/>
    </w:pPr>
  </w:style>
  <w:style w:type="character" w:customStyle="1" w:styleId="69">
    <w:name w:val="批注框文本 字符"/>
    <w:basedOn w:val="20"/>
    <w:link w:val="12"/>
    <w:semiHidden/>
    <w:qFormat/>
    <w:uiPriority w:val="99"/>
    <w:rPr>
      <w:rFonts w:ascii="Times New Roman" w:hAnsi="Times New Roman" w:eastAsia="宋体" w:cs="Times New Roman"/>
      <w:sz w:val="18"/>
      <w:szCs w:val="18"/>
    </w:rPr>
  </w:style>
  <w:style w:type="character" w:customStyle="1" w:styleId="70">
    <w:name w:val="纯文本 Char"/>
    <w:basedOn w:val="20"/>
    <w:qFormat/>
    <w:uiPriority w:val="0"/>
    <w:rPr>
      <w:rFonts w:ascii="宋体" w:hAnsi="Courier New" w:eastAsia="宋体" w:cs="Courier New"/>
      <w:szCs w:val="21"/>
    </w:rPr>
  </w:style>
  <w:style w:type="character" w:customStyle="1" w:styleId="71">
    <w:name w:val="纯文本 字符"/>
    <w:basedOn w:val="20"/>
    <w:link w:val="11"/>
    <w:qFormat/>
    <w:uiPriority w:val="0"/>
    <w:rPr>
      <w:rFonts w:ascii="宋体" w:hAnsi="Courier New" w:eastAsia="宋体" w:cs="Courier New"/>
      <w:szCs w:val="21"/>
    </w:rPr>
  </w:style>
  <w:style w:type="character" w:customStyle="1" w:styleId="72">
    <w:name w:val="正文文本缩进 字符"/>
    <w:basedOn w:val="20"/>
    <w:link w:val="10"/>
    <w:qFormat/>
    <w:uiPriority w:val="0"/>
    <w:rPr>
      <w:rFonts w:ascii="仿宋_GB2312" w:hAnsi="Times New Roman" w:eastAsia="仿宋_GB2312" w:cs="Times New Roman"/>
      <w:sz w:val="32"/>
      <w:szCs w:val="20"/>
    </w:rPr>
  </w:style>
  <w:style w:type="character" w:customStyle="1" w:styleId="73">
    <w:name w:val="标题 2 Char"/>
    <w:basedOn w:val="20"/>
    <w:semiHidden/>
    <w:qFormat/>
    <w:uiPriority w:val="9"/>
    <w:rPr>
      <w:rFonts w:asciiTheme="majorHAnsi" w:hAnsiTheme="majorHAnsi" w:eastAsiaTheme="majorEastAsia" w:cstheme="majorBidi"/>
      <w:b/>
      <w:bCs/>
      <w:sz w:val="32"/>
      <w:szCs w:val="32"/>
    </w:rPr>
  </w:style>
  <w:style w:type="character" w:customStyle="1" w:styleId="74">
    <w:name w:val="标题 2 字符"/>
    <w:basedOn w:val="20"/>
    <w:link w:val="4"/>
    <w:qFormat/>
    <w:uiPriority w:val="9"/>
    <w:rPr>
      <w:rFonts w:ascii="Cambria" w:hAnsi="Cambria" w:eastAsia="宋体" w:cs="Times New Roman"/>
      <w:b/>
      <w:bCs/>
      <w:sz w:val="32"/>
      <w:szCs w:val="32"/>
    </w:rPr>
  </w:style>
  <w:style w:type="character" w:customStyle="1" w:styleId="75">
    <w:name w:val="正文文本 字符"/>
    <w:basedOn w:val="20"/>
    <w:link w:val="8"/>
    <w:qFormat/>
    <w:uiPriority w:val="99"/>
    <w:rPr>
      <w:rFonts w:ascii="Times New Roman" w:hAnsi="Times New Roman" w:eastAsia="宋体" w:cs="Times New Roman"/>
      <w:szCs w:val="24"/>
    </w:rPr>
  </w:style>
  <w:style w:type="character" w:customStyle="1" w:styleId="76">
    <w:name w:val="正文文本首行缩进 字符"/>
    <w:basedOn w:val="75"/>
    <w:link w:val="17"/>
    <w:semiHidden/>
    <w:qFormat/>
    <w:uiPriority w:val="99"/>
    <w:rPr>
      <w:rFonts w:ascii="Times New Roman" w:hAnsi="Times New Roman" w:eastAsia="宋体" w:cs="Times New Roman"/>
      <w:szCs w:val="24"/>
    </w:rPr>
  </w:style>
  <w:style w:type="paragraph" w:customStyle="1" w:styleId="7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78">
    <w:name w:val="正文内容 Char"/>
    <w:link w:val="79"/>
    <w:qFormat/>
    <w:uiPriority w:val="5"/>
    <w:rPr>
      <w:rFonts w:ascii="Times New Roman" w:hAnsi="Times New Roman"/>
      <w:sz w:val="24"/>
      <w:szCs w:val="24"/>
    </w:rPr>
  </w:style>
  <w:style w:type="paragraph" w:customStyle="1" w:styleId="79">
    <w:name w:val="正文内容"/>
    <w:basedOn w:val="1"/>
    <w:link w:val="78"/>
    <w:qFormat/>
    <w:uiPriority w:val="5"/>
    <w:pPr>
      <w:adjustRightInd w:val="0"/>
      <w:spacing w:line="360" w:lineRule="auto"/>
      <w:ind w:firstLine="200" w:firstLineChars="200"/>
    </w:pPr>
    <w:rPr>
      <w:rFonts w:eastAsiaTheme="minorEastAsia" w:cstheme="minorBidi"/>
      <w:sz w:val="24"/>
    </w:rPr>
  </w:style>
  <w:style w:type="paragraph" w:customStyle="1" w:styleId="80">
    <w:name w:val="2ji"/>
    <w:basedOn w:val="4"/>
    <w:qFormat/>
    <w:uiPriority w:val="0"/>
    <w:pPr>
      <w:adjustRightInd w:val="0"/>
      <w:spacing w:before="0" w:after="0" w:line="360" w:lineRule="auto"/>
      <w:textAlignment w:val="baseline"/>
    </w:pPr>
    <w:rPr>
      <w:rFonts w:ascii="宋体" w:hAnsi="宋体"/>
      <w:kern w:val="0"/>
      <w:sz w:val="21"/>
      <w:szCs w:val="21"/>
    </w:rPr>
  </w:style>
  <w:style w:type="paragraph" w:customStyle="1" w:styleId="8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83">
    <w:name w:val="正文文本 21"/>
    <w:basedOn w:val="1"/>
    <w:qFormat/>
    <w:uiPriority w:val="0"/>
    <w:pPr>
      <w:spacing w:after="120" w:line="480" w:lineRule="auto"/>
    </w:pPr>
  </w:style>
  <w:style w:type="paragraph" w:customStyle="1" w:styleId="84">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8337C4-4780-4B5A-BE60-CB4D55B8FD7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1746</Words>
  <Characters>9956</Characters>
  <Lines>82</Lines>
  <Paragraphs>23</Paragraphs>
  <TotalTime>4</TotalTime>
  <ScaleCrop>false</ScaleCrop>
  <LinksUpToDate>false</LinksUpToDate>
  <CharactersWithSpaces>11679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2021-11-08T06:55:00Z</dcterms:created>
  <dc:creator>lenovo</dc:creator>
  <cp:lastModifiedBy>XIAOYANGYO(≧▽≦)~</cp:lastModifiedBy>
  <cp:lastPrinted>2021-11-08T03:25:00Z</cp:lastPrinted>
  <dcterms:modified xsi:type="dcterms:W3CDTF">2023-10-07T03:37:32Z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SaveFontToCloudKey">
    <vt:lpwstr>958527779_btnclosed</vt:lpwstr>
  </property>
  <property fmtid="{D5CDD505-2E9C-101B-9397-08002B2CF9AE}" pid="4" name="ICV">
    <vt:lpwstr>050404B528B44ADD84F267D733402A52_13</vt:lpwstr>
  </property>
</Properties>
</file>