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color w:val="auto"/>
          <w:sz w:val="52"/>
          <w:szCs w:val="52"/>
        </w:rPr>
      </w:pPr>
    </w:p>
    <w:p>
      <w:pPr>
        <w:pStyle w:val="11"/>
        <w:spacing w:line="1000" w:lineRule="exact"/>
        <w:rPr>
          <w:rFonts w:ascii="黑体" w:hAnsi="宋体" w:eastAsia="黑体"/>
          <w:color w:val="auto"/>
          <w:sz w:val="84"/>
          <w:szCs w:val="84"/>
        </w:rPr>
      </w:pPr>
      <w:r>
        <w:rPr>
          <w:color w:val="auto"/>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jc w:val="center"/>
        <w:rPr>
          <w:rFonts w:ascii="黑体" w:hAnsi="宋体" w:eastAsia="黑体"/>
          <w:color w:val="auto"/>
          <w:sz w:val="84"/>
          <w:szCs w:val="84"/>
        </w:rPr>
      </w:pPr>
    </w:p>
    <w:p>
      <w:pPr>
        <w:pStyle w:val="11"/>
        <w:spacing w:line="1000" w:lineRule="exact"/>
        <w:jc w:val="center"/>
        <w:outlineLvl w:val="0"/>
        <w:rPr>
          <w:rFonts w:ascii="黑体" w:hAnsi="宋体" w:eastAsia="黑体"/>
          <w:color w:val="auto"/>
          <w:sz w:val="84"/>
          <w:szCs w:val="84"/>
        </w:rPr>
      </w:pPr>
      <w:bookmarkStart w:id="0" w:name="_Toc23667"/>
      <w:r>
        <w:rPr>
          <w:rFonts w:hint="eastAsia" w:ascii="黑体" w:hAnsi="宋体" w:eastAsia="黑体"/>
          <w:color w:val="auto"/>
          <w:sz w:val="84"/>
          <w:szCs w:val="84"/>
        </w:rPr>
        <w:t>询价通知书</w:t>
      </w:r>
      <w:bookmarkEnd w:id="0"/>
    </w:p>
    <w:p>
      <w:pPr>
        <w:pStyle w:val="11"/>
        <w:spacing w:line="500" w:lineRule="exact"/>
        <w:jc w:val="center"/>
        <w:rPr>
          <w:rFonts w:hAnsi="宋体"/>
          <w:color w:val="auto"/>
        </w:rPr>
      </w:pPr>
    </w:p>
    <w:p>
      <w:pPr>
        <w:pStyle w:val="11"/>
        <w:spacing w:line="500" w:lineRule="exact"/>
        <w:jc w:val="center"/>
        <w:rPr>
          <w:rFonts w:hAnsi="宋体"/>
          <w:color w:val="auto"/>
        </w:rPr>
      </w:pPr>
      <w:r>
        <w:rPr>
          <w:rFonts w:hAnsi="宋体"/>
          <w:color w:val="auto"/>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pStyle w:val="11"/>
        <w:spacing w:line="500" w:lineRule="exact"/>
        <w:jc w:val="center"/>
        <w:rPr>
          <w:rFonts w:hAnsi="宋体"/>
          <w:color w:val="auto"/>
        </w:rPr>
      </w:pPr>
    </w:p>
    <w:p>
      <w:pPr>
        <w:spacing w:line="900" w:lineRule="exact"/>
        <w:ind w:left="720" w:leftChars="171" w:hanging="361" w:hangingChars="100"/>
        <w:rPr>
          <w:rFonts w:hint="eastAsia" w:ascii="仿宋" w:hAnsi="仿宋" w:eastAsia="仿宋" w:cs="仿宋"/>
          <w:color w:val="auto"/>
          <w:kern w:val="0"/>
          <w:sz w:val="36"/>
          <w:szCs w:val="36"/>
          <w:u w:val="single"/>
        </w:rPr>
      </w:pPr>
      <w:r>
        <w:rPr>
          <w:rFonts w:hint="eastAsia" w:ascii="仿宋" w:hAnsi="仿宋" w:eastAsia="仿宋" w:cs="仿宋"/>
          <w:b/>
          <w:bCs/>
          <w:color w:val="auto"/>
          <w:kern w:val="0"/>
          <w:sz w:val="36"/>
          <w:szCs w:val="36"/>
        </w:rPr>
        <w:t>项目名称：</w:t>
      </w:r>
      <w:r>
        <w:rPr>
          <w:rFonts w:hint="eastAsia" w:ascii="仿宋" w:hAnsi="仿宋" w:eastAsia="仿宋" w:cs="仿宋"/>
          <w:color w:val="auto"/>
          <w:kern w:val="0"/>
          <w:sz w:val="36"/>
          <w:szCs w:val="36"/>
          <w:u w:val="single"/>
        </w:rPr>
        <w:t xml:space="preserve"> 广西工商职业技术学院武鸣校区健康运动训练</w:t>
      </w:r>
    </w:p>
    <w:p>
      <w:pPr>
        <w:spacing w:line="900" w:lineRule="exact"/>
        <w:ind w:firstLine="2160" w:firstLineChars="600"/>
        <w:rPr>
          <w:rFonts w:hint="eastAsia" w:ascii="仿宋" w:hAnsi="仿宋" w:eastAsia="仿宋" w:cs="仿宋"/>
          <w:color w:val="auto"/>
          <w:kern w:val="0"/>
          <w:sz w:val="36"/>
          <w:szCs w:val="36"/>
          <w:u w:val="single"/>
        </w:rPr>
      </w:pPr>
      <w:r>
        <w:rPr>
          <w:rFonts w:hint="eastAsia" w:ascii="仿宋" w:hAnsi="仿宋" w:eastAsia="仿宋" w:cs="仿宋"/>
          <w:color w:val="auto"/>
          <w:kern w:val="0"/>
          <w:sz w:val="36"/>
          <w:szCs w:val="36"/>
          <w:u w:val="single"/>
        </w:rPr>
        <w:t>馆窗帘采购项目</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w:t>
      </w:r>
      <w:r>
        <w:rPr>
          <w:rFonts w:hint="eastAsia" w:ascii="仿宋" w:hAnsi="仿宋" w:eastAsia="仿宋" w:cs="仿宋"/>
          <w:b/>
          <w:bCs/>
          <w:color w:val="auto"/>
          <w:kern w:val="0"/>
          <w:sz w:val="36"/>
          <w:szCs w:val="36"/>
          <w:lang w:val="en-US" w:eastAsia="zh-CN"/>
        </w:rPr>
        <w:t>单位</w:t>
      </w:r>
      <w:r>
        <w:rPr>
          <w:rFonts w:hint="eastAsia" w:ascii="仿宋" w:hAnsi="仿宋" w:eastAsia="仿宋" w:cs="仿宋"/>
          <w:b/>
          <w:bCs/>
          <w:color w:val="auto"/>
          <w:kern w:val="0"/>
          <w:sz w:val="36"/>
          <w:szCs w:val="36"/>
        </w:rPr>
        <w:t>：</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广西工商</w:t>
      </w:r>
      <w:bookmarkStart w:id="16" w:name="_GoBack"/>
      <w:bookmarkEnd w:id="16"/>
      <w:r>
        <w:rPr>
          <w:rFonts w:hint="eastAsia" w:ascii="仿宋" w:hAnsi="仿宋" w:eastAsia="仿宋" w:cs="仿宋"/>
          <w:color w:val="auto"/>
          <w:kern w:val="0"/>
          <w:sz w:val="36"/>
          <w:szCs w:val="36"/>
          <w:u w:val="single"/>
          <w:lang w:val="en-US" w:eastAsia="zh-CN"/>
        </w:rPr>
        <w:t xml:space="preserve">职业技术学院      </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国有资产管理处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sz w:val="36"/>
          <w:szCs w:val="36"/>
          <w:u w:val="single"/>
        </w:rPr>
        <w:t>202</w:t>
      </w:r>
      <w:r>
        <w:rPr>
          <w:rFonts w:hint="eastAsia" w:ascii="仿宋" w:hAnsi="仿宋" w:eastAsia="仿宋" w:cs="仿宋"/>
          <w:color w:val="auto"/>
          <w:sz w:val="36"/>
          <w:szCs w:val="36"/>
          <w:u w:val="single"/>
          <w:lang w:val="en-US" w:eastAsia="zh-CN"/>
        </w:rPr>
        <w:t>3</w:t>
      </w:r>
      <w:r>
        <w:rPr>
          <w:rFonts w:hint="eastAsia" w:ascii="仿宋" w:hAnsi="仿宋" w:eastAsia="仿宋" w:cs="仿宋"/>
          <w:color w:val="auto"/>
          <w:sz w:val="36"/>
          <w:szCs w:val="36"/>
          <w:u w:val="single"/>
        </w:rPr>
        <w:t>年</w:t>
      </w:r>
      <w:r>
        <w:rPr>
          <w:rFonts w:hint="eastAsia" w:ascii="仿宋" w:hAnsi="仿宋" w:eastAsia="仿宋" w:cs="仿宋"/>
          <w:color w:val="auto"/>
          <w:sz w:val="36"/>
          <w:szCs w:val="36"/>
          <w:u w:val="single"/>
          <w:lang w:val="en-US" w:eastAsia="zh-CN"/>
        </w:rPr>
        <w:t>11</w:t>
      </w:r>
      <w:r>
        <w:rPr>
          <w:rFonts w:hint="eastAsia" w:ascii="仿宋" w:hAnsi="仿宋" w:eastAsia="仿宋" w:cs="仿宋"/>
          <w:color w:val="auto"/>
          <w:sz w:val="36"/>
          <w:szCs w:val="36"/>
          <w:u w:val="single"/>
        </w:rPr>
        <w:t xml:space="preserve">月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sectPr>
          <w:pgSz w:w="11906" w:h="16838"/>
          <w:pgMar w:top="1440" w:right="1080" w:bottom="1440" w:left="1080" w:header="851" w:footer="992" w:gutter="0"/>
          <w:pgNumType w:fmt="decimal"/>
          <w:cols w:space="425" w:num="1"/>
          <w:docGrid w:type="lines" w:linePitch="312" w:charSpace="0"/>
        </w:sectPr>
      </w:pPr>
    </w:p>
    <w:sdt>
      <w:sdtPr>
        <w:rPr>
          <w:rFonts w:ascii="宋体" w:hAnsi="宋体" w:eastAsia="宋体" w:cs="Times New Roman"/>
          <w:color w:val="auto"/>
          <w:kern w:val="2"/>
          <w:sz w:val="21"/>
          <w:szCs w:val="24"/>
          <w:lang w:val="en-US" w:eastAsia="zh-CN" w:bidi="ar-SA"/>
        </w:rPr>
        <w:id w:val="147473107"/>
        <w15:color w:val="DBDBDB"/>
        <w:docPartObj>
          <w:docPartGallery w:val="Table of Contents"/>
          <w:docPartUnique/>
        </w:docPartObj>
      </w:sdtPr>
      <w:sdtEndPr>
        <w:rPr>
          <w:rFonts w:hint="eastAsia" w:cs="Times New Roman" w:asciiTheme="majorEastAsia" w:hAnsiTheme="majorEastAsia" w:eastAsiaTheme="majorEastAsia"/>
          <w:color w:val="auto"/>
          <w:kern w:val="2"/>
          <w:sz w:val="21"/>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cs="宋体"/>
              <w:b/>
              <w:bCs/>
              <w:color w:val="auto"/>
              <w:sz w:val="32"/>
              <w:szCs w:val="32"/>
            </w:rPr>
          </w:pPr>
          <w:r>
            <w:rPr>
              <w:rFonts w:hint="eastAsia" w:ascii="宋体" w:hAnsi="宋体" w:eastAsia="宋体" w:cs="宋体"/>
              <w:b/>
              <w:bCs/>
              <w:color w:val="auto"/>
              <w:sz w:val="32"/>
              <w:szCs w:val="32"/>
            </w:rPr>
            <w:t>目录</w:t>
          </w:r>
        </w:p>
        <w:p>
          <w:pPr>
            <w:pStyle w:val="75"/>
            <w:tabs>
              <w:tab w:val="right" w:leader="dot" w:pos="9746"/>
            </w:tabs>
            <w:rPr>
              <w:rFonts w:hint="eastAsia" w:ascii="宋体" w:hAnsi="宋体" w:cs="宋体"/>
              <w:color w:val="auto"/>
              <w:sz w:val="32"/>
              <w:szCs w:val="32"/>
            </w:rPr>
          </w:pPr>
          <w:r>
            <w:rPr>
              <w:rFonts w:hint="eastAsia" w:ascii="宋体" w:hAnsi="宋体" w:eastAsia="宋体" w:cs="宋体"/>
              <w:b/>
              <w:color w:val="auto"/>
              <w:sz w:val="32"/>
              <w:szCs w:val="32"/>
            </w:rPr>
            <w:fldChar w:fldCharType="begin"/>
          </w:r>
          <w:r>
            <w:rPr>
              <w:rFonts w:hint="eastAsia" w:ascii="宋体" w:hAnsi="宋体" w:eastAsia="宋体" w:cs="宋体"/>
              <w:b/>
              <w:color w:val="auto"/>
              <w:sz w:val="32"/>
              <w:szCs w:val="32"/>
            </w:rPr>
            <w:instrText xml:space="preserve">TOC \o "1-1" \h \u </w:instrText>
          </w:r>
          <w:r>
            <w:rPr>
              <w:rFonts w:hint="eastAsia" w:ascii="宋体" w:hAnsi="宋体" w:eastAsia="宋体" w:cs="宋体"/>
              <w:b/>
              <w:color w:val="auto"/>
              <w:sz w:val="32"/>
              <w:szCs w:val="32"/>
            </w:rPr>
            <w:fldChar w:fldCharType="separate"/>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_Toc4522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第一章 项目</w:t>
          </w:r>
          <w:r>
            <w:rPr>
              <w:rFonts w:hint="eastAsia" w:ascii="宋体" w:hAnsi="宋体" w:cs="宋体"/>
              <w:bCs/>
              <w:color w:val="auto"/>
              <w:sz w:val="32"/>
              <w:szCs w:val="32"/>
              <w:lang w:eastAsia="zh-CN"/>
            </w:rPr>
            <w:t>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2</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5"/>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_Toc12753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4</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5"/>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_Toc17117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8</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5"/>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_Toc1359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9</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5"/>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_Toc24643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17</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jc w:val="left"/>
            <w:rPr>
              <w:rFonts w:hint="eastAsia" w:asciiTheme="majorEastAsia" w:hAnsiTheme="majorEastAsia" w:eastAsiaTheme="majorEastAsia"/>
              <w:b/>
              <w:color w:val="auto"/>
              <w:sz w:val="30"/>
              <w:szCs w:val="30"/>
            </w:rPr>
          </w:pPr>
          <w:r>
            <w:rPr>
              <w:rFonts w:hint="eastAsia" w:ascii="宋体" w:hAnsi="宋体" w:eastAsia="宋体" w:cs="宋体"/>
              <w:color w:val="auto"/>
              <w:sz w:val="32"/>
              <w:szCs w:val="32"/>
            </w:rPr>
            <w:fldChar w:fldCharType="end"/>
          </w:r>
        </w:p>
      </w:sdtContent>
    </w:sdt>
    <w:p>
      <w:pPr>
        <w:pStyle w:val="3"/>
        <w:ind w:firstLine="2800" w:firstLineChars="700"/>
        <w:jc w:val="both"/>
        <w:rPr>
          <w:rFonts w:hint="eastAsia"/>
          <w:b w:val="0"/>
          <w:bCs/>
          <w:color w:val="auto"/>
          <w:sz w:val="40"/>
          <w:szCs w:val="22"/>
        </w:rPr>
      </w:pPr>
      <w:bookmarkStart w:id="1" w:name="_Toc4522"/>
      <w:r>
        <w:rPr>
          <w:rFonts w:hint="eastAsia"/>
          <w:b w:val="0"/>
          <w:bCs/>
          <w:color w:val="auto"/>
          <w:sz w:val="40"/>
          <w:szCs w:val="22"/>
        </w:rPr>
        <w:br w:type="textWrapping"/>
      </w:r>
    </w:p>
    <w:p>
      <w:pPr>
        <w:jc w:val="center"/>
        <w:rPr>
          <w:rFonts w:hint="eastAsia"/>
          <w:b w:val="0"/>
          <w:bCs/>
          <w:color w:val="auto"/>
          <w:sz w:val="40"/>
          <w:szCs w:val="22"/>
        </w:rPr>
      </w:pPr>
      <w:r>
        <w:rPr>
          <w:rFonts w:hint="eastAsia"/>
          <w:b w:val="0"/>
          <w:bCs/>
          <w:color w:val="auto"/>
          <w:sz w:val="40"/>
          <w:szCs w:val="22"/>
        </w:rPr>
        <w:br w:type="page"/>
      </w:r>
    </w:p>
    <w:p>
      <w:pPr>
        <w:pStyle w:val="3"/>
        <w:ind w:firstLine="2800" w:firstLineChars="700"/>
        <w:jc w:val="left"/>
        <w:rPr>
          <w:rFonts w:hint="eastAsia" w:eastAsia="宋体" w:asciiTheme="majorEastAsia" w:hAnsiTheme="majorEastAsia" w:cstheme="minorBidi"/>
          <w:b/>
          <w:color w:val="auto"/>
          <w:sz w:val="36"/>
          <w:szCs w:val="36"/>
          <w:lang w:eastAsia="zh-CN"/>
        </w:rPr>
      </w:pPr>
      <w:r>
        <w:rPr>
          <w:rFonts w:hint="eastAsia"/>
          <w:b w:val="0"/>
          <w:bCs/>
          <w:color w:val="auto"/>
          <w:sz w:val="40"/>
          <w:szCs w:val="22"/>
        </w:rPr>
        <w:t>第一章 项目</w:t>
      </w:r>
      <w:bookmarkEnd w:id="1"/>
      <w:r>
        <w:rPr>
          <w:rFonts w:hint="eastAsia"/>
          <w:b w:val="0"/>
          <w:bCs/>
          <w:color w:val="auto"/>
          <w:sz w:val="40"/>
          <w:szCs w:val="22"/>
          <w:lang w:eastAsia="zh-CN"/>
        </w:rPr>
        <w:t>公告</w:t>
      </w:r>
    </w:p>
    <w:p>
      <w:pPr>
        <w:spacing w:line="500" w:lineRule="exact"/>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eastAsia="zh-CN"/>
        </w:rPr>
        <w:t>项目名称：</w:t>
      </w:r>
      <w:r>
        <w:rPr>
          <w:rFonts w:hint="eastAsia" w:asciiTheme="minorEastAsia" w:hAnsiTheme="minorEastAsia" w:eastAsiaTheme="minorEastAsia" w:cstheme="minorBidi"/>
          <w:color w:val="auto"/>
          <w:sz w:val="28"/>
          <w:szCs w:val="28"/>
        </w:rPr>
        <w:t>广西工商职业技术学院武鸣校区健康运动训练馆窗帘采购项目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eastAsia="zh-CN"/>
        </w:rPr>
        <w:t>项目预算：</w:t>
      </w:r>
      <w:r>
        <w:rPr>
          <w:rFonts w:hint="eastAsia" w:asciiTheme="minorEastAsia" w:hAnsiTheme="minorEastAsia" w:eastAsiaTheme="minorEastAsia" w:cstheme="minorBidi"/>
          <w:color w:val="auto"/>
          <w:sz w:val="28"/>
          <w:szCs w:val="28"/>
        </w:rPr>
        <w:t>人民币</w:t>
      </w:r>
      <w:r>
        <w:rPr>
          <w:rFonts w:hint="eastAsia" w:asciiTheme="minorEastAsia" w:hAnsiTheme="minorEastAsia" w:eastAsiaTheme="minorEastAsia" w:cstheme="minorBidi"/>
          <w:color w:val="auto"/>
          <w:sz w:val="28"/>
          <w:szCs w:val="28"/>
          <w:lang w:val="en-US" w:eastAsia="zh-CN"/>
        </w:rPr>
        <w:t>叁万肆仟玖佰贰拾元整</w:t>
      </w:r>
      <w:r>
        <w:rPr>
          <w:rFonts w:hint="eastAsia" w:asciiTheme="minorEastAsia" w:hAnsiTheme="minorEastAsia" w:eastAsiaTheme="minorEastAsia" w:cstheme="minorBidi"/>
          <w:color w:val="auto"/>
          <w:sz w:val="28"/>
          <w:szCs w:val="28"/>
        </w:rPr>
        <w:t>（￥</w:t>
      </w:r>
      <w:r>
        <w:rPr>
          <w:rFonts w:hint="eastAsia" w:asciiTheme="minorEastAsia" w:hAnsiTheme="minorEastAsia" w:eastAsiaTheme="minorEastAsia" w:cstheme="minorBidi"/>
          <w:color w:val="auto"/>
          <w:sz w:val="28"/>
          <w:szCs w:val="28"/>
          <w:lang w:val="en-US" w:eastAsia="zh-CN"/>
        </w:rPr>
        <w:t>34,920.00</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asciiTheme="minorEastAsia" w:hAnsiTheme="minorEastAsia" w:eastAsiaTheme="minorEastAsia" w:cstheme="minorBidi"/>
          <w:color w:val="auto"/>
          <w:sz w:val="28"/>
          <w:szCs w:val="28"/>
          <w:lang w:val="en-US" w:eastAsia="zh-CN"/>
        </w:rPr>
        <w:t>窗帘1批</w:t>
      </w:r>
      <w:r>
        <w:rPr>
          <w:rFonts w:hint="eastAsia" w:cs="Arial" w:asciiTheme="minorEastAsia" w:hAnsiTheme="minorEastAsia" w:eastAsiaTheme="minorEastAsia"/>
          <w:color w:val="auto"/>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具备《中华人民共和国政府采购法》第二十二条规定的条件。</w:t>
      </w:r>
    </w:p>
    <w:p>
      <w:pPr>
        <w:spacing w:line="500" w:lineRule="exact"/>
        <w:ind w:firstLine="560" w:firstLineChars="200"/>
        <w:rPr>
          <w:rFonts w:hint="eastAsia" w:eastAsia="宋体" w:asciiTheme="minorEastAsia" w:hAnsiTheme="minorEastAsia"/>
          <w:color w:val="FF0000"/>
          <w:sz w:val="28"/>
          <w:szCs w:val="28"/>
          <w:lang w:eastAsia="zh-CN"/>
        </w:rPr>
      </w:pPr>
      <w:r>
        <w:rPr>
          <w:rFonts w:hint="eastAsia" w:asciiTheme="minorEastAsia" w:hAnsiTheme="minorEastAsia" w:eastAsiaTheme="minorEastAsia" w:cstheme="minorBidi"/>
          <w:color w:val="auto"/>
          <w:sz w:val="28"/>
          <w:szCs w:val="28"/>
        </w:rPr>
        <w:t>2</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r>
        <w:rPr>
          <w:rFonts w:hint="eastAsia" w:asciiTheme="minorEastAsia" w:hAnsiTheme="minorEastAsia"/>
          <w:color w:val="auto"/>
          <w:sz w:val="28"/>
          <w:szCs w:val="28"/>
          <w:lang w:eastAsia="zh-CN"/>
        </w:rPr>
        <w:t>。</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hint="eastAsia" w:asciiTheme="minorEastAsia" w:hAnsiTheme="minorEastAsia" w:eastAsiaTheme="minorEastAsia" w:cstheme="minorBidi"/>
          <w:color w:val="auto"/>
          <w:sz w:val="28"/>
          <w:szCs w:val="28"/>
          <w:lang w:val="en-US" w:eastAsia="zh-CN"/>
        </w:rPr>
        <w:t>.</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本项目不接受联合体投标。</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（一）现场报名核验资料（无需密封）：营业执照（复印件盖公章）</w:t>
      </w:r>
      <w:r>
        <w:rPr>
          <w:rFonts w:hint="eastAsia" w:asciiTheme="minorEastAsia" w:hAnsiTheme="minorEastAsia" w:eastAsiaTheme="minorEastAsia" w:cstheme="minorBidi"/>
          <w:color w:val="auto"/>
          <w:sz w:val="28"/>
          <w:szCs w:val="28"/>
          <w:lang w:eastAsia="zh-CN"/>
        </w:rPr>
        <w:t>、</w:t>
      </w:r>
      <w:r>
        <w:rPr>
          <w:rFonts w:hint="eastAsia" w:asciiTheme="minorEastAsia" w:hAnsiTheme="minorEastAsia" w:eastAsiaTheme="minorEastAsia" w:cstheme="minorBidi"/>
          <w:color w:val="auto"/>
          <w:sz w:val="28"/>
          <w:szCs w:val="28"/>
        </w:rPr>
        <w:t>法人授权委托书、委托代理人身份证（复印件盖公章）。以上所有材料均需加盖公章，否则视为资料不齐，报名无效。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密封盖公章的响应文件：响应文件格式详见附件《广西工商职业技术学院武鸣校区健康运动训练馆窗帘采购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b/>
          <w:color w:val="auto"/>
          <w:sz w:val="28"/>
          <w:szCs w:val="28"/>
        </w:rPr>
        <w:t>六、报名时间地点</w:t>
      </w:r>
    </w:p>
    <w:p>
      <w:pPr>
        <w:spacing w:line="360" w:lineRule="auto"/>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公告时间：2023年</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15</w:t>
      </w:r>
      <w:r>
        <w:rPr>
          <w:rFonts w:hint="eastAsia" w:asciiTheme="minorEastAsia" w:hAnsiTheme="minorEastAsia" w:eastAsiaTheme="minorEastAsia" w:cstheme="minorBidi"/>
          <w:color w:val="auto"/>
          <w:sz w:val="28"/>
          <w:szCs w:val="28"/>
          <w:lang w:eastAsia="zh-CN"/>
        </w:rPr>
        <w:t>日</w:t>
      </w:r>
      <w:r>
        <w:rPr>
          <w:rFonts w:hint="eastAsia" w:asciiTheme="minorEastAsia" w:hAnsiTheme="minorEastAsia" w:eastAsiaTheme="minorEastAsia" w:cstheme="minorBidi"/>
          <w:color w:val="auto"/>
          <w:sz w:val="28"/>
          <w:szCs w:val="28"/>
        </w:rPr>
        <w:t>-2023年</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20</w:t>
      </w:r>
      <w:r>
        <w:rPr>
          <w:rFonts w:hint="eastAsia" w:asciiTheme="minorEastAsia" w:hAnsiTheme="minorEastAsia" w:eastAsiaTheme="minorEastAsia" w:cstheme="minorBidi"/>
          <w:color w:val="auto"/>
          <w:sz w:val="28"/>
          <w:szCs w:val="28"/>
        </w:rPr>
        <w:t>日。</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20</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eastAsia="zh-CN"/>
        </w:rPr>
        <w:t>下</w:t>
      </w:r>
      <w:r>
        <w:rPr>
          <w:rFonts w:hint="eastAsia" w:asciiTheme="minorEastAsia" w:hAnsiTheme="minorEastAsia" w:eastAsiaTheme="minorEastAsia" w:cstheme="minorBidi"/>
          <w:color w:val="auto"/>
          <w:sz w:val="28"/>
          <w:szCs w:val="28"/>
          <w:lang w:val="en-US" w:eastAsia="zh-CN"/>
        </w:rPr>
        <w:t>午15</w:t>
      </w:r>
      <w:r>
        <w:rPr>
          <w:rFonts w:hint="eastAsia" w:asciiTheme="minorEastAsia" w:hAnsiTheme="minorEastAsia" w:eastAsiaTheme="minorEastAsia" w:cstheme="minorBidi"/>
          <w:color w:val="auto"/>
          <w:sz w:val="28"/>
          <w:szCs w:val="28"/>
        </w:rPr>
        <w:t>：00—</w:t>
      </w:r>
      <w:r>
        <w:rPr>
          <w:rFonts w:hint="eastAsia" w:asciiTheme="minorEastAsia" w:hAnsiTheme="minorEastAsia" w:eastAsiaTheme="minorEastAsia" w:cstheme="minorBidi"/>
          <w:color w:val="auto"/>
          <w:sz w:val="28"/>
          <w:szCs w:val="28"/>
          <w:lang w:val="en-US" w:eastAsia="zh-CN"/>
        </w:rPr>
        <w:t>17</w:t>
      </w:r>
      <w:r>
        <w:rPr>
          <w:rFonts w:hint="eastAsia" w:asciiTheme="minorEastAsia" w:hAnsiTheme="minorEastAsia" w:eastAsiaTheme="minorEastAsia" w:cstheme="minorBidi"/>
          <w:color w:val="auto"/>
          <w:sz w:val="28"/>
          <w:szCs w:val="28"/>
        </w:rPr>
        <w:t>：</w:t>
      </w:r>
      <w:r>
        <w:rPr>
          <w:rFonts w:hint="eastAsia" w:asciiTheme="minorEastAsia" w:hAnsiTheme="minorEastAsia" w:eastAsiaTheme="minorEastAsia" w:cstheme="minorBidi"/>
          <w:color w:val="auto"/>
          <w:sz w:val="28"/>
          <w:szCs w:val="28"/>
          <w:lang w:val="en-US" w:eastAsia="zh-CN"/>
        </w:rPr>
        <w:t>0</w:t>
      </w:r>
      <w:r>
        <w:rPr>
          <w:rFonts w:hint="eastAsia" w:asciiTheme="minorEastAsia" w:hAnsiTheme="minorEastAsia" w:eastAsiaTheme="minorEastAsia" w:cstheme="minorBidi"/>
          <w:color w:val="auto"/>
          <w:sz w:val="28"/>
          <w:szCs w:val="28"/>
        </w:rPr>
        <w:t>0，逾期不再接收报名。</w:t>
      </w:r>
    </w:p>
    <w:p>
      <w:pPr>
        <w:spacing w:line="360" w:lineRule="auto"/>
        <w:ind w:firstLine="700" w:firstLineChars="2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w:t>
      </w:r>
      <w:r>
        <w:rPr>
          <w:rFonts w:hint="eastAsia" w:asciiTheme="minorEastAsia" w:hAnsiTheme="minorEastAsia" w:eastAsiaTheme="minorEastAsia" w:cstheme="minorBidi"/>
          <w:color w:val="auto"/>
          <w:sz w:val="28"/>
          <w:szCs w:val="28"/>
          <w:lang w:val="en-US" w:eastAsia="zh-CN"/>
        </w:rPr>
        <w:t>6楼</w:t>
      </w:r>
      <w:r>
        <w:rPr>
          <w:rFonts w:hint="eastAsia" w:asciiTheme="minorEastAsia" w:hAnsiTheme="minorEastAsia" w:eastAsiaTheme="minorEastAsia" w:cstheme="minorBidi"/>
          <w:color w:val="auto"/>
          <w:sz w:val="28"/>
          <w:szCs w:val="28"/>
        </w:rPr>
        <w:t>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val="en-US" w:eastAsia="zh-CN"/>
        </w:rPr>
        <w:t>吴</w:t>
      </w:r>
      <w:r>
        <w:rPr>
          <w:rFonts w:hint="eastAsia" w:asciiTheme="minorEastAsia" w:hAnsiTheme="minorEastAsia" w:eastAsiaTheme="minorEastAsia" w:cstheme="minorBidi"/>
          <w:color w:val="auto"/>
          <w:sz w:val="28"/>
          <w:szCs w:val="28"/>
        </w:rPr>
        <w:t xml:space="preserve">老师，0771-2394894 </w:t>
      </w:r>
    </w:p>
    <w:p>
      <w:pPr>
        <w:snapToGrid w:val="0"/>
        <w:spacing w:line="340" w:lineRule="atLeast"/>
        <w:ind w:firstLine="562" w:firstLineChars="200"/>
        <w:rPr>
          <w:rFonts w:hint="eastAsia" w:ascii="宋体" w:hAnsi="宋体" w:eastAsia="宋体" w:cs="宋体"/>
          <w:color w:val="auto"/>
          <w:sz w:val="28"/>
          <w:szCs w:val="28"/>
        </w:rPr>
      </w:pPr>
      <w:r>
        <w:rPr>
          <w:rFonts w:hint="eastAsia" w:ascii="宋体" w:hAnsi="宋体" w:eastAsia="宋体" w:cs="宋体"/>
          <w:b/>
          <w:color w:val="auto"/>
          <w:sz w:val="28"/>
          <w:szCs w:val="28"/>
        </w:rPr>
        <w:t>八、网上公告媒体查询</w:t>
      </w:r>
      <w:r>
        <w:rPr>
          <w:rFonts w:hint="eastAsia" w:ascii="宋体" w:hAnsi="宋体" w:eastAsia="宋体" w:cs="宋体"/>
          <w:color w:val="auto"/>
          <w:sz w:val="28"/>
          <w:szCs w:val="28"/>
        </w:rPr>
        <w:t>：广西工商职业技术学院（</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"http://www.gxgsxy.com/" </w:instrText>
      </w:r>
      <w:r>
        <w:rPr>
          <w:rFonts w:hint="eastAsia" w:ascii="宋体" w:hAnsi="宋体" w:cs="宋体"/>
          <w:color w:val="auto"/>
          <w:sz w:val="28"/>
          <w:szCs w:val="28"/>
        </w:rPr>
        <w:fldChar w:fldCharType="separate"/>
      </w:r>
      <w:r>
        <w:rPr>
          <w:rFonts w:hint="eastAsia" w:ascii="宋体" w:hAnsi="宋体" w:eastAsia="宋体" w:cs="宋体"/>
          <w:color w:val="auto"/>
          <w:sz w:val="28"/>
          <w:szCs w:val="28"/>
        </w:rPr>
        <w:t>http://www.gxgsxy.com/</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w:t>
      </w:r>
    </w:p>
    <w:p>
      <w:pPr>
        <w:spacing w:line="360" w:lineRule="auto"/>
        <w:ind w:left="0" w:leftChars="0" w:firstLine="562" w:firstLineChars="200"/>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九、采购监督机构</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r>
        <w:rPr>
          <w:rFonts w:hint="eastAsia" w:ascii="宋体" w:hAnsi="宋体" w:cs="宋体"/>
          <w:color w:val="auto"/>
          <w:sz w:val="28"/>
          <w:szCs w:val="28"/>
          <w:lang w:val="en-US" w:eastAsia="zh-CN"/>
        </w:rPr>
        <w:t>广西工商职业技术学院纪委办公室、监察室，联系电话0771-2359467。</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p>
    <w:p>
      <w:pPr>
        <w:spacing w:line="360" w:lineRule="auto"/>
        <w:ind w:left="840" w:leftChars="200" w:hanging="420" w:hangingChars="150"/>
        <w:rPr>
          <w:rFonts w:hint="eastAsia" w:asciiTheme="minorEastAsia" w:hAnsiTheme="minorEastAsia" w:eastAsiaTheme="minorEastAsia" w:cstheme="minorBidi"/>
          <w:color w:val="auto"/>
          <w:sz w:val="28"/>
          <w:szCs w:val="28"/>
          <w:lang w:val="en-US" w:eastAsia="zh-CN"/>
        </w:rPr>
      </w:pPr>
      <w:r>
        <w:rPr>
          <w:rFonts w:hint="eastAsia" w:asciiTheme="minorEastAsia" w:hAnsiTheme="minorEastAsia" w:eastAsiaTheme="minorEastAsia" w:cstheme="minorBidi"/>
          <w:color w:val="auto"/>
          <w:sz w:val="28"/>
          <w:szCs w:val="28"/>
          <w:lang w:eastAsia="zh-CN"/>
        </w:rPr>
        <w:t>附件</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广西工商职业技术学院武鸣校区健康运动训练馆窗帘采购项目询价通知书</w:t>
      </w: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460" w:firstLineChars="1950"/>
        <w:outlineLvl w:val="0"/>
        <w:rPr>
          <w:rFonts w:asciiTheme="minorEastAsia" w:hAnsiTheme="minorEastAsia" w:eastAsiaTheme="minorEastAsia" w:cstheme="minorBidi"/>
          <w:color w:val="auto"/>
          <w:sz w:val="28"/>
          <w:szCs w:val="28"/>
        </w:rPr>
      </w:pPr>
      <w:bookmarkStart w:id="2" w:name="_Toc15229"/>
      <w:r>
        <w:rPr>
          <w:rFonts w:hint="eastAsia" w:asciiTheme="minorEastAsia" w:hAnsiTheme="minorEastAsia" w:eastAsiaTheme="minorEastAsia" w:cstheme="minorBidi"/>
          <w:color w:val="auto"/>
          <w:sz w:val="28"/>
          <w:szCs w:val="28"/>
        </w:rPr>
        <w:t>广西工商职业技术学院</w:t>
      </w:r>
      <w:bookmarkEnd w:id="2"/>
    </w:p>
    <w:p>
      <w:pPr>
        <w:spacing w:line="360" w:lineRule="auto"/>
        <w:ind w:firstLine="5740" w:firstLineChars="2050"/>
        <w:rPr>
          <w:rFonts w:asciiTheme="minorEastAsia" w:hAnsiTheme="minorEastAsia"/>
          <w:color w:val="auto"/>
          <w:sz w:val="28"/>
          <w:szCs w:val="28"/>
        </w:rPr>
        <w:sectPr>
          <w:footerReference r:id="rId3" w:type="default"/>
          <w:pgSz w:w="11906" w:h="16838"/>
          <w:pgMar w:top="1440" w:right="1080" w:bottom="1440" w:left="1080" w:header="851" w:footer="992" w:gutter="0"/>
          <w:pgNumType w:fmt="decimal" w:start="1"/>
          <w:cols w:space="425" w:num="1"/>
          <w:docGrid w:type="lines" w:linePitch="312" w:charSpace="0"/>
        </w:sectPr>
      </w:pPr>
      <w:r>
        <w:rPr>
          <w:rFonts w:hint="eastAsia" w:asciiTheme="minorEastAsia" w:hAnsiTheme="minorEastAsia" w:eastAsiaTheme="minorEastAsia" w:cstheme="minorBidi"/>
          <w:color w:val="auto"/>
          <w:sz w:val="28"/>
          <w:szCs w:val="28"/>
        </w:rPr>
        <w:t>202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15</w:t>
      </w:r>
      <w:r>
        <w:rPr>
          <w:rFonts w:hint="eastAsia" w:asciiTheme="minorEastAsia" w:hAnsiTheme="minorEastAsia" w:eastAsiaTheme="minorEastAsia" w:cstheme="minorBidi"/>
          <w:color w:val="auto"/>
          <w:sz w:val="28"/>
          <w:szCs w:val="28"/>
        </w:rPr>
        <w:t>日</w:t>
      </w:r>
    </w:p>
    <w:p>
      <w:pPr>
        <w:pStyle w:val="3"/>
        <w:ind w:firstLine="3200" w:firstLineChars="800"/>
        <w:jc w:val="left"/>
        <w:rPr>
          <w:rFonts w:hint="eastAsia"/>
          <w:b w:val="0"/>
          <w:bCs/>
          <w:color w:val="auto"/>
          <w:sz w:val="40"/>
          <w:szCs w:val="22"/>
        </w:rPr>
      </w:pPr>
      <w:bookmarkStart w:id="3" w:name="_Toc12753"/>
      <w:r>
        <w:rPr>
          <w:rFonts w:hint="eastAsia"/>
          <w:b w:val="0"/>
          <w:bCs/>
          <w:color w:val="auto"/>
          <w:sz w:val="40"/>
          <w:szCs w:val="22"/>
        </w:rPr>
        <w:t>第二章 采购需求</w:t>
      </w:r>
      <w:bookmarkEnd w:id="3"/>
    </w:p>
    <w:p>
      <w:pPr>
        <w:jc w:val="left"/>
        <w:rPr>
          <w:rFonts w:hint="eastAsia"/>
          <w:color w:val="auto"/>
        </w:rPr>
      </w:pPr>
      <w:r>
        <w:rPr>
          <w:rFonts w:hint="eastAsia"/>
          <w:color w:val="auto"/>
        </w:rPr>
        <w:t>说明：</w:t>
      </w:r>
    </w:p>
    <w:p>
      <w:pPr>
        <w:jc w:val="left"/>
        <w:rPr>
          <w:rFonts w:hint="eastAsia"/>
          <w:color w:val="auto"/>
        </w:rPr>
      </w:pPr>
      <w:r>
        <w:rPr>
          <w:rFonts w:hint="eastAsia"/>
          <w:color w:val="auto"/>
        </w:rPr>
        <w:t>1.</w:t>
      </w:r>
      <w:r>
        <w:rPr>
          <w:rFonts w:hint="eastAsia"/>
          <w:color w:val="auto"/>
          <w:lang w:val="en-US" w:eastAsia="zh-CN"/>
        </w:rPr>
        <w:t>询价</w:t>
      </w:r>
      <w:r>
        <w:rPr>
          <w:rFonts w:hint="eastAsia"/>
          <w:color w:val="auto"/>
        </w:rPr>
        <w:t>文件中标注“★”号的要求为实质性要求，必须满足或优于，否则</w:t>
      </w:r>
      <w:r>
        <w:rPr>
          <w:rFonts w:hint="eastAsia"/>
          <w:color w:val="auto"/>
          <w:lang w:val="en-US" w:eastAsia="zh-CN"/>
        </w:rPr>
        <w:t>报价</w:t>
      </w:r>
      <w:r>
        <w:rPr>
          <w:rFonts w:hint="eastAsia"/>
          <w:color w:val="auto"/>
        </w:rPr>
        <w:t>无效。</w:t>
      </w:r>
    </w:p>
    <w:p>
      <w:pPr>
        <w:jc w:val="left"/>
        <w:rPr>
          <w:rFonts w:hint="eastAsia"/>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rPr>
          <w:rFonts w:hint="eastAsia"/>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left"/>
        <w:rPr>
          <w:rFonts w:hint="eastAsia"/>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pStyle w:val="15"/>
      </w:pPr>
    </w:p>
    <w:tbl>
      <w:tblPr>
        <w:tblStyle w:val="18"/>
        <w:tblW w:w="8945" w:type="dxa"/>
        <w:jc w:val="center"/>
        <w:tblLayout w:type="fixed"/>
        <w:tblCellMar>
          <w:top w:w="0" w:type="dxa"/>
          <w:left w:w="108" w:type="dxa"/>
          <w:bottom w:w="0" w:type="dxa"/>
          <w:right w:w="108" w:type="dxa"/>
        </w:tblCellMar>
      </w:tblPr>
      <w:tblGrid>
        <w:gridCol w:w="856"/>
        <w:gridCol w:w="1174"/>
        <w:gridCol w:w="2568"/>
        <w:gridCol w:w="770"/>
        <w:gridCol w:w="727"/>
        <w:gridCol w:w="2093"/>
        <w:gridCol w:w="757"/>
      </w:tblGrid>
      <w:tr>
        <w:tblPrEx>
          <w:tblCellMar>
            <w:top w:w="0" w:type="dxa"/>
            <w:left w:w="108" w:type="dxa"/>
            <w:bottom w:w="0" w:type="dxa"/>
            <w:right w:w="108" w:type="dxa"/>
          </w:tblCellMar>
        </w:tblPrEx>
        <w:trPr>
          <w:trHeight w:val="480" w:hRule="atLeast"/>
          <w:jc w:val="center"/>
        </w:trPr>
        <w:tc>
          <w:tcPr>
            <w:tcW w:w="8945"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both"/>
              <w:rPr>
                <w:rFonts w:hint="eastAsia" w:ascii="宋体" w:hAnsi="宋体" w:eastAsia="宋体" w:cs="宋体"/>
                <w:b/>
                <w:bCs/>
                <w:color w:val="000000"/>
                <w:kern w:val="0"/>
                <w:sz w:val="20"/>
                <w:szCs w:val="20"/>
                <w:lang w:val="en-US" w:eastAsia="zh-CN"/>
              </w:rPr>
            </w:pPr>
            <w:r>
              <w:rPr>
                <w:rFonts w:hint="eastAsia"/>
                <w:color w:val="auto"/>
              </w:rPr>
              <w:t>★</w:t>
            </w:r>
            <w:r>
              <w:rPr>
                <w:rFonts w:hint="eastAsia" w:ascii="宋体" w:hAnsi="宋体" w:cs="宋体"/>
                <w:b/>
                <w:bCs/>
                <w:color w:val="000000"/>
                <w:kern w:val="0"/>
                <w:sz w:val="20"/>
                <w:szCs w:val="20"/>
                <w:lang w:val="en-US" w:eastAsia="zh-CN"/>
              </w:rPr>
              <w:t>一、采购技术参数需求</w:t>
            </w:r>
          </w:p>
        </w:tc>
      </w:tr>
      <w:tr>
        <w:tblPrEx>
          <w:tblCellMar>
            <w:top w:w="0" w:type="dxa"/>
            <w:left w:w="108" w:type="dxa"/>
            <w:bottom w:w="0" w:type="dxa"/>
            <w:right w:w="108" w:type="dxa"/>
          </w:tblCellMar>
        </w:tblPrEx>
        <w:trPr>
          <w:trHeight w:val="480" w:hRule="atLeast"/>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117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lang w:eastAsia="zh-CN"/>
              </w:rPr>
              <w:t>货物</w:t>
            </w:r>
            <w:r>
              <w:rPr>
                <w:rFonts w:hint="eastAsia" w:ascii="宋体" w:hAnsi="宋体" w:cs="宋体"/>
                <w:b/>
                <w:bCs/>
                <w:color w:val="000000"/>
                <w:kern w:val="0"/>
                <w:sz w:val="20"/>
                <w:szCs w:val="20"/>
              </w:rPr>
              <w:t>名称</w:t>
            </w:r>
          </w:p>
        </w:tc>
        <w:tc>
          <w:tcPr>
            <w:tcW w:w="256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产品</w:t>
            </w:r>
            <w:r>
              <w:rPr>
                <w:rFonts w:hint="eastAsia" w:ascii="宋体" w:hAnsi="宋体" w:cs="宋体"/>
                <w:b/>
                <w:bCs/>
                <w:color w:val="000000"/>
                <w:kern w:val="0"/>
                <w:sz w:val="20"/>
                <w:szCs w:val="20"/>
                <w:lang w:eastAsia="zh-CN"/>
              </w:rPr>
              <w:t>技术参数</w:t>
            </w:r>
            <w:r>
              <w:rPr>
                <w:rFonts w:hint="eastAsia" w:ascii="宋体" w:hAnsi="宋体" w:cs="宋体"/>
                <w:b/>
                <w:bCs/>
                <w:color w:val="000000"/>
                <w:kern w:val="0"/>
                <w:sz w:val="20"/>
                <w:szCs w:val="20"/>
              </w:rPr>
              <w:t>描述</w:t>
            </w:r>
          </w:p>
        </w:tc>
        <w:tc>
          <w:tcPr>
            <w:tcW w:w="77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数量</w:t>
            </w:r>
          </w:p>
        </w:tc>
        <w:tc>
          <w:tcPr>
            <w:tcW w:w="72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单位</w:t>
            </w:r>
          </w:p>
        </w:tc>
        <w:tc>
          <w:tcPr>
            <w:tcW w:w="20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图片</w:t>
            </w:r>
          </w:p>
        </w:tc>
        <w:tc>
          <w:tcPr>
            <w:tcW w:w="75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备注</w:t>
            </w:r>
          </w:p>
        </w:tc>
      </w:tr>
      <w:tr>
        <w:tblPrEx>
          <w:tblCellMar>
            <w:top w:w="0" w:type="dxa"/>
            <w:left w:w="108" w:type="dxa"/>
            <w:bottom w:w="0" w:type="dxa"/>
            <w:right w:w="108" w:type="dxa"/>
          </w:tblCellMar>
        </w:tblPrEx>
        <w:trPr>
          <w:trHeight w:val="407" w:hRule="atLeast"/>
          <w:jc w:val="center"/>
        </w:trPr>
        <w:tc>
          <w:tcPr>
            <w:tcW w:w="8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74" w:type="dxa"/>
            <w:tcBorders>
              <w:top w:val="nil"/>
              <w:left w:val="nil"/>
              <w:bottom w:val="single" w:color="auto" w:sz="4" w:space="0"/>
              <w:right w:val="single" w:color="auto" w:sz="4" w:space="0"/>
            </w:tcBorders>
            <w:shd w:val="clear" w:color="auto" w:fill="auto"/>
            <w:noWrap/>
            <w:vAlign w:val="center"/>
          </w:tcPr>
          <w:p>
            <w:pPr>
              <w:widowControl/>
              <w:rPr>
                <w:rFonts w:ascii="宋体" w:hAnsi="宋体" w:eastAsia="宋体" w:cs="宋体"/>
                <w:color w:val="000000"/>
                <w:kern w:val="0"/>
                <w:sz w:val="20"/>
                <w:szCs w:val="20"/>
              </w:rPr>
            </w:pPr>
            <w:r>
              <w:rPr>
                <w:rFonts w:hint="eastAsia"/>
                <w:color w:val="000000"/>
                <w:sz w:val="20"/>
                <w:szCs w:val="20"/>
              </w:rPr>
              <w:t>铝合金罗马杆</w:t>
            </w:r>
          </w:p>
        </w:tc>
        <w:tc>
          <w:tcPr>
            <w:tcW w:w="25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color w:val="000000"/>
                <w:sz w:val="22"/>
              </w:rPr>
              <w:t>铝合金罗马杆</w:t>
            </w:r>
            <w:r>
              <w:rPr>
                <w:rFonts w:hint="eastAsia"/>
                <w:color w:val="000000"/>
                <w:sz w:val="22"/>
              </w:rPr>
              <w:br w:type="textWrapping"/>
            </w:r>
            <w:r>
              <w:rPr>
                <w:rFonts w:hint="eastAsia"/>
                <w:color w:val="000000"/>
                <w:sz w:val="22"/>
              </w:rPr>
              <w:t>1壁厚≥1.2mm,支架厚21.2mm， 直径约28MM;</w:t>
            </w:r>
            <w:r>
              <w:rPr>
                <w:rFonts w:hint="eastAsia"/>
                <w:color w:val="000000"/>
                <w:sz w:val="22"/>
              </w:rPr>
              <w:br w:type="textWrapping"/>
            </w:r>
            <w:r>
              <w:rPr>
                <w:rFonts w:hint="eastAsia"/>
                <w:color w:val="000000"/>
                <w:sz w:val="22"/>
              </w:rPr>
              <w:t>2.附着性:干-0级，湿_0级，沸水-0级;</w:t>
            </w:r>
            <w:r>
              <w:rPr>
                <w:rFonts w:hint="eastAsia"/>
                <w:color w:val="000000"/>
                <w:sz w:val="22"/>
              </w:rPr>
              <w:br w:type="textWrapping"/>
            </w:r>
            <w:r>
              <w:rPr>
                <w:rFonts w:hint="eastAsia"/>
                <w:color w:val="000000"/>
                <w:sz w:val="22"/>
              </w:rPr>
              <w:t>3.耐盐酸</w:t>
            </w:r>
            <w:r>
              <w:rPr>
                <w:rFonts w:hint="eastAsia"/>
                <w:color w:val="000000"/>
                <w:sz w:val="22"/>
              </w:rPr>
              <w:br w:type="textWrapping"/>
            </w:r>
            <w:r>
              <w:rPr>
                <w:rFonts w:hint="eastAsia"/>
                <w:color w:val="000000"/>
                <w:sz w:val="22"/>
              </w:rPr>
              <w:t>性:经耐盐酸性试验后，其复合膜表面应无气泡或其他明显变化。</w:t>
            </w:r>
            <w:r>
              <w:rPr>
                <w:rFonts w:hint="eastAsia"/>
                <w:color w:val="000000"/>
                <w:sz w:val="22"/>
              </w:rPr>
              <w:br w:type="textWrapping"/>
            </w:r>
            <w:r>
              <w:rPr>
                <w:rFonts w:hint="eastAsia"/>
                <w:color w:val="000000"/>
                <w:sz w:val="22"/>
              </w:rPr>
              <w:t>4.外观质量：型材装饰面上的膜层平滑、均匀，允许有轻微的桔皮现象，不允许有皱纹、流痕、鼓泡、裂纹等影响使用的缺陷</w:t>
            </w:r>
            <w:r>
              <w:rPr>
                <w:rFonts w:hint="eastAsia"/>
                <w:color w:val="000000"/>
                <w:sz w:val="22"/>
              </w:rPr>
              <w:br w:type="textWrapping"/>
            </w:r>
            <w:r>
              <w:rPr>
                <w:rFonts w:hint="eastAsia"/>
                <w:color w:val="000000"/>
                <w:sz w:val="22"/>
              </w:rPr>
              <w:t>5.壁厚1.4加减</w:t>
            </w:r>
            <w:r>
              <w:rPr>
                <w:rFonts w:hint="eastAsia"/>
                <w:color w:val="000000"/>
                <w:sz w:val="22"/>
              </w:rPr>
              <w:br w:type="textWrapping"/>
            </w:r>
            <w:r>
              <w:rPr>
                <w:rFonts w:hint="eastAsia"/>
                <w:color w:val="000000"/>
                <w:sz w:val="22"/>
              </w:rPr>
              <w:t>6售后服务：15年</w:t>
            </w:r>
          </w:p>
        </w:tc>
        <w:tc>
          <w:tcPr>
            <w:tcW w:w="7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2"/>
              </w:rPr>
            </w:pPr>
            <w:r>
              <w:rPr>
                <w:rFonts w:hint="eastAsia"/>
                <w:color w:val="000000"/>
                <w:sz w:val="22"/>
              </w:rPr>
              <w:t>40</w:t>
            </w:r>
          </w:p>
        </w:tc>
        <w:tc>
          <w:tcPr>
            <w:tcW w:w="727" w:type="dxa"/>
            <w:tcBorders>
              <w:top w:val="nil"/>
              <w:left w:val="nil"/>
              <w:bottom w:val="single" w:color="auto" w:sz="4" w:space="0"/>
              <w:right w:val="single" w:color="auto" w:sz="4" w:space="0"/>
            </w:tcBorders>
            <w:shd w:val="clear" w:color="auto" w:fill="auto"/>
            <w:noWrap/>
            <w:vAlign w:val="center"/>
          </w:tcPr>
          <w:p>
            <w:pPr>
              <w:jc w:val="right"/>
              <w:rPr>
                <w:color w:val="000000"/>
                <w:sz w:val="22"/>
              </w:rPr>
            </w:pPr>
            <w:r>
              <w:rPr>
                <w:rFonts w:hint="eastAsia"/>
                <w:color w:val="000000"/>
                <w:sz w:val="22"/>
              </w:rPr>
              <w:t>组</w:t>
            </w:r>
          </w:p>
        </w:tc>
        <w:tc>
          <w:tcPr>
            <w:tcW w:w="209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olor w:val="000000"/>
              </w:rPr>
            </w:pPr>
          </w:p>
          <w:p>
            <w:pPr>
              <w:widowControl/>
              <w:jc w:val="left"/>
              <w:rPr>
                <w:rFonts w:hint="eastAsia" w:ascii="仿宋" w:hAnsi="仿宋" w:eastAsia="仿宋"/>
                <w:color w:val="000000"/>
              </w:rPr>
            </w:pPr>
          </w:p>
          <w:p>
            <w:pPr>
              <w:widowControl/>
              <w:jc w:val="left"/>
              <w:rPr>
                <w:rFonts w:hint="eastAsia" w:ascii="仿宋" w:hAnsi="仿宋" w:eastAsia="仿宋"/>
                <w:color w:val="000000"/>
              </w:rPr>
            </w:pPr>
          </w:p>
          <w:p>
            <w:pPr>
              <w:widowControl/>
              <w:jc w:val="left"/>
              <w:rPr>
                <w:rFonts w:hint="eastAsia" w:ascii="仿宋" w:hAnsi="仿宋" w:eastAsia="仿宋"/>
                <w:color w:val="000000"/>
              </w:rPr>
            </w:pPr>
          </w:p>
          <w:p>
            <w:pPr>
              <w:widowControl/>
              <w:jc w:val="left"/>
              <w:rPr>
                <w:rFonts w:hint="eastAsia" w:ascii="仿宋" w:hAnsi="仿宋" w:eastAsia="仿宋"/>
                <w:color w:val="000000"/>
              </w:rPr>
            </w:pPr>
          </w:p>
          <w:p>
            <w:pPr>
              <w:widowControl/>
              <w:jc w:val="left"/>
              <w:rPr>
                <w:rFonts w:hint="eastAsia" w:ascii="仿宋" w:hAnsi="仿宋" w:eastAsia="仿宋"/>
                <w:color w:val="000000"/>
              </w:rPr>
            </w:pPr>
            <w:r>
              <w:rPr>
                <w:rFonts w:ascii="宋体" w:hAnsi="宋体" w:cs="宋体"/>
                <w:color w:val="000000"/>
                <w:kern w:val="0"/>
                <w:sz w:val="22"/>
              </w:rPr>
              <w:drawing>
                <wp:anchor distT="0" distB="0" distL="114300" distR="114300" simplePos="0" relativeHeight="251661312" behindDoc="0" locked="0" layoutInCell="1" allowOverlap="1">
                  <wp:simplePos x="0" y="0"/>
                  <wp:positionH relativeFrom="column">
                    <wp:posOffset>29210</wp:posOffset>
                  </wp:positionH>
                  <wp:positionV relativeFrom="paragraph">
                    <wp:posOffset>267335</wp:posOffset>
                  </wp:positionV>
                  <wp:extent cx="1113155" cy="1190625"/>
                  <wp:effectExtent l="0" t="0" r="14605" b="1333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3155" cy="1190625"/>
                          </a:xfrm>
                          <a:prstGeom prst="rect">
                            <a:avLst/>
                          </a:prstGeom>
                          <a:noFill/>
                        </pic:spPr>
                      </pic:pic>
                    </a:graphicData>
                  </a:graphic>
                </wp:anchor>
              </w:drawing>
            </w:r>
          </w:p>
        </w:tc>
        <w:tc>
          <w:tcPr>
            <w:tcW w:w="757"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olor w:val="000000"/>
                <w:sz w:val="24"/>
                <w:szCs w:val="24"/>
              </w:rPr>
            </w:pPr>
            <w:r>
              <w:rPr>
                <w:rFonts w:hint="eastAsia" w:ascii="仿宋" w:hAnsi="仿宋" w:eastAsia="仿宋"/>
                <w:color w:val="000000"/>
              </w:rPr>
              <w:t>含税</w:t>
            </w:r>
            <w:r>
              <w:rPr>
                <w:rFonts w:hint="eastAsia" w:ascii="仿宋" w:hAnsi="仿宋" w:eastAsia="仿宋"/>
                <w:color w:val="000000"/>
              </w:rPr>
              <w:br w:type="textWrapping"/>
            </w:r>
            <w:r>
              <w:rPr>
                <w:rFonts w:hint="eastAsia" w:ascii="仿宋" w:hAnsi="仿宋" w:eastAsia="仿宋"/>
                <w:color w:val="000000"/>
              </w:rPr>
              <w:t>安装</w:t>
            </w:r>
            <w:r>
              <w:rPr>
                <w:rFonts w:hint="eastAsia" w:ascii="仿宋" w:hAnsi="仿宋" w:eastAsia="仿宋"/>
                <w:color w:val="000000"/>
              </w:rPr>
              <w:br w:type="textWrapping"/>
            </w:r>
            <w:r>
              <w:rPr>
                <w:rFonts w:hint="eastAsia" w:ascii="仿宋" w:hAnsi="仿宋" w:eastAsia="仿宋"/>
                <w:color w:val="000000"/>
              </w:rPr>
              <w:t>运输</w:t>
            </w:r>
            <w:r>
              <w:rPr>
                <w:rFonts w:hint="eastAsia" w:ascii="仿宋" w:hAnsi="仿宋" w:eastAsia="仿宋"/>
                <w:color w:val="000000"/>
              </w:rPr>
              <w:br w:type="textWrapping"/>
            </w:r>
            <w:r>
              <w:rPr>
                <w:rFonts w:hint="eastAsia" w:ascii="仿宋" w:hAnsi="仿宋" w:eastAsia="仿宋"/>
                <w:color w:val="000000"/>
              </w:rPr>
              <w:t>设计</w:t>
            </w:r>
          </w:p>
        </w:tc>
      </w:tr>
      <w:tr>
        <w:tblPrEx>
          <w:tblCellMar>
            <w:top w:w="0" w:type="dxa"/>
            <w:left w:w="108" w:type="dxa"/>
            <w:bottom w:w="0" w:type="dxa"/>
            <w:right w:w="108" w:type="dxa"/>
          </w:tblCellMar>
        </w:tblPrEx>
        <w:trPr>
          <w:trHeight w:val="2117" w:hRule="atLeast"/>
          <w:jc w:val="center"/>
        </w:trPr>
        <w:tc>
          <w:tcPr>
            <w:tcW w:w="8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1174" w:type="dxa"/>
            <w:tcBorders>
              <w:top w:val="nil"/>
              <w:left w:val="nil"/>
              <w:bottom w:val="single" w:color="auto" w:sz="4" w:space="0"/>
              <w:right w:val="single" w:color="auto" w:sz="4" w:space="0"/>
            </w:tcBorders>
            <w:shd w:val="clear" w:color="auto" w:fill="auto"/>
            <w:noWrap/>
            <w:vAlign w:val="center"/>
          </w:tcPr>
          <w:p>
            <w:pPr>
              <w:widowControl/>
              <w:rPr>
                <w:rFonts w:ascii="宋体" w:hAnsi="宋体" w:eastAsia="宋体" w:cs="宋体"/>
                <w:color w:val="000000"/>
                <w:kern w:val="0"/>
                <w:sz w:val="20"/>
                <w:szCs w:val="20"/>
              </w:rPr>
            </w:pPr>
            <w:r>
              <w:rPr>
                <w:rFonts w:hint="eastAsia"/>
                <w:color w:val="000000"/>
                <w:sz w:val="20"/>
                <w:szCs w:val="20"/>
              </w:rPr>
              <w:t>窗帘布</w:t>
            </w:r>
          </w:p>
        </w:tc>
        <w:tc>
          <w:tcPr>
            <w:tcW w:w="25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color w:val="000000"/>
                <w:sz w:val="22"/>
              </w:rPr>
              <w:t>一、窗帘规格</w:t>
            </w:r>
            <w:r>
              <w:rPr>
                <w:rFonts w:hint="eastAsia"/>
                <w:color w:val="000000"/>
                <w:sz w:val="22"/>
              </w:rPr>
              <w:br w:type="textWrapping"/>
            </w:r>
            <w:r>
              <w:rPr>
                <w:rFonts w:hint="eastAsia"/>
                <w:color w:val="000000"/>
                <w:sz w:val="22"/>
              </w:rPr>
              <w:t>窗(推拉门)尺寸2.5* 1.6m,</w:t>
            </w:r>
            <w:r>
              <w:rPr>
                <w:rFonts w:hint="eastAsia"/>
                <w:color w:val="000000"/>
                <w:sz w:val="22"/>
              </w:rPr>
              <w:br w:type="textWrapping"/>
            </w:r>
            <w:r>
              <w:rPr>
                <w:rFonts w:hint="eastAsia"/>
                <w:color w:val="000000"/>
                <w:sz w:val="22"/>
              </w:rPr>
              <w:t>窗帘布尺寸为2.7*3.2m (即窗帘宽和窗帘布按照1:2的比例配套)，</w:t>
            </w:r>
            <w:r>
              <w:rPr>
                <w:rFonts w:hint="eastAsia"/>
                <w:color w:val="000000"/>
                <w:sz w:val="22"/>
              </w:rPr>
              <w:br w:type="textWrapping"/>
            </w:r>
            <w:r>
              <w:rPr>
                <w:rFonts w:hint="eastAsia"/>
                <w:color w:val="000000"/>
                <w:sz w:val="22"/>
              </w:rPr>
              <w:t>二、窗帘纱参数</w:t>
            </w:r>
            <w:r>
              <w:rPr>
                <w:rFonts w:hint="eastAsia"/>
                <w:color w:val="000000"/>
                <w:sz w:val="22"/>
              </w:rPr>
              <w:br w:type="textWrapping"/>
            </w:r>
            <w:r>
              <w:rPr>
                <w:rFonts w:hint="eastAsia"/>
                <w:color w:val="000000"/>
                <w:sz w:val="22"/>
              </w:rPr>
              <w:t>聚酯纤维100%</w:t>
            </w:r>
            <w:r>
              <w:rPr>
                <w:rFonts w:hint="eastAsia"/>
                <w:color w:val="000000"/>
                <w:sz w:val="22"/>
              </w:rPr>
              <w:br w:type="textWrapping"/>
            </w:r>
            <w:r>
              <w:rPr>
                <w:rFonts w:hint="eastAsia"/>
                <w:color w:val="000000"/>
                <w:sz w:val="22"/>
              </w:rPr>
              <w:t>1.甲醛含量≤300</w:t>
            </w:r>
            <w:r>
              <w:rPr>
                <w:rFonts w:hint="eastAsia"/>
                <w:color w:val="000000"/>
                <w:sz w:val="22"/>
              </w:rPr>
              <w:br w:type="textWrapping"/>
            </w:r>
            <w:r>
              <w:rPr>
                <w:rFonts w:hint="eastAsia"/>
                <w:color w:val="000000"/>
                <w:sz w:val="22"/>
              </w:rPr>
              <w:t>2.pH值4.0～9</w:t>
            </w:r>
            <w:r>
              <w:rPr>
                <w:rFonts w:hint="eastAsia"/>
                <w:color w:val="000000"/>
                <w:sz w:val="22"/>
              </w:rPr>
              <w:br w:type="textWrapping"/>
            </w:r>
            <w:r>
              <w:rPr>
                <w:rFonts w:hint="eastAsia"/>
                <w:color w:val="000000"/>
                <w:sz w:val="22"/>
              </w:rPr>
              <w:t>3.异味无</w:t>
            </w:r>
            <w:r>
              <w:rPr>
                <w:rFonts w:hint="eastAsia"/>
                <w:color w:val="000000"/>
                <w:sz w:val="22"/>
              </w:rPr>
              <w:br w:type="textWrapping"/>
            </w:r>
            <w:r>
              <w:rPr>
                <w:rFonts w:hint="eastAsia"/>
                <w:color w:val="000000"/>
                <w:sz w:val="22"/>
              </w:rPr>
              <w:t>4.AZO禁用</w:t>
            </w:r>
            <w:r>
              <w:rPr>
                <w:rFonts w:hint="eastAsia"/>
                <w:color w:val="000000"/>
                <w:sz w:val="22"/>
              </w:rPr>
              <w:br w:type="textWrapping"/>
            </w:r>
            <w:r>
              <w:rPr>
                <w:rFonts w:hint="eastAsia"/>
                <w:color w:val="000000"/>
                <w:sz w:val="22"/>
              </w:rPr>
              <w:t>5.铅含量≤1.0</w:t>
            </w:r>
            <w:r>
              <w:rPr>
                <w:rFonts w:hint="eastAsia"/>
                <w:color w:val="000000"/>
                <w:sz w:val="22"/>
              </w:rPr>
              <w:br w:type="textWrapping"/>
            </w:r>
            <w:r>
              <w:rPr>
                <w:rFonts w:hint="eastAsia"/>
                <w:color w:val="000000"/>
                <w:sz w:val="22"/>
              </w:rPr>
              <w:t>6.鉻含量≤1.0</w:t>
            </w:r>
            <w:r>
              <w:rPr>
                <w:rFonts w:hint="eastAsia"/>
                <w:color w:val="000000"/>
                <w:sz w:val="22"/>
              </w:rPr>
              <w:br w:type="textWrapping"/>
            </w:r>
            <w:r>
              <w:rPr>
                <w:rFonts w:hint="eastAsia"/>
                <w:color w:val="000000"/>
                <w:sz w:val="22"/>
              </w:rPr>
              <w:t>7.耐洗色牢度≥3～4</w:t>
            </w:r>
            <w:r>
              <w:rPr>
                <w:rFonts w:hint="eastAsia"/>
                <w:color w:val="000000"/>
                <w:sz w:val="22"/>
              </w:rPr>
              <w:br w:type="textWrapping"/>
            </w:r>
            <w:r>
              <w:rPr>
                <w:rFonts w:hint="eastAsia"/>
                <w:color w:val="000000"/>
                <w:sz w:val="22"/>
              </w:rPr>
              <w:t>8.耐光色牢度≥4～5</w:t>
            </w:r>
            <w:r>
              <w:rPr>
                <w:rFonts w:hint="eastAsia"/>
                <w:color w:val="000000"/>
                <w:sz w:val="22"/>
              </w:rPr>
              <w:br w:type="textWrapping"/>
            </w:r>
            <w:r>
              <w:rPr>
                <w:rFonts w:hint="eastAsia"/>
                <w:color w:val="000000"/>
                <w:sz w:val="22"/>
              </w:rPr>
              <w:t>9.水洗尺寸变化率+3.0～-3.0</w:t>
            </w:r>
            <w:r>
              <w:rPr>
                <w:rFonts w:hint="eastAsia"/>
                <w:color w:val="000000"/>
                <w:sz w:val="22"/>
              </w:rPr>
              <w:br w:type="textWrapping"/>
            </w:r>
            <w:r>
              <w:rPr>
                <w:rFonts w:hint="eastAsia"/>
                <w:color w:val="000000"/>
                <w:sz w:val="22"/>
              </w:rPr>
              <w:t>10.UPF值＜40</w:t>
            </w:r>
            <w:r>
              <w:rPr>
                <w:rFonts w:hint="eastAsia"/>
                <w:color w:val="000000"/>
                <w:sz w:val="22"/>
              </w:rPr>
              <w:br w:type="textWrapping"/>
            </w:r>
            <w:r>
              <w:rPr>
                <w:rFonts w:hint="eastAsia"/>
                <w:color w:val="000000"/>
                <w:sz w:val="22"/>
              </w:rPr>
              <w:t>11.遮光率小于等于98</w:t>
            </w:r>
            <w:r>
              <w:rPr>
                <w:rFonts w:hint="eastAsia"/>
                <w:color w:val="000000"/>
                <w:sz w:val="22"/>
              </w:rPr>
              <w:br w:type="textWrapping"/>
            </w:r>
            <w:r>
              <w:rPr>
                <w:rFonts w:hint="eastAsia"/>
                <w:color w:val="000000"/>
                <w:sz w:val="22"/>
              </w:rPr>
              <w:t>12隔音30dB~40dB</w:t>
            </w:r>
            <w:r>
              <w:rPr>
                <w:rFonts w:hint="eastAsia"/>
                <w:color w:val="000000"/>
                <w:sz w:val="22"/>
              </w:rPr>
              <w:br w:type="textWrapping"/>
            </w:r>
            <w:r>
              <w:rPr>
                <w:rFonts w:hint="eastAsia"/>
                <w:color w:val="000000"/>
                <w:sz w:val="22"/>
              </w:rPr>
              <w:t>13.西装工艺</w:t>
            </w:r>
            <w:r>
              <w:rPr>
                <w:rFonts w:hint="eastAsia"/>
                <w:color w:val="000000"/>
                <w:sz w:val="22"/>
              </w:rPr>
              <w:br w:type="textWrapping"/>
            </w:r>
            <w:r>
              <w:rPr>
                <w:rFonts w:hint="eastAsia"/>
                <w:color w:val="000000"/>
                <w:sz w:val="22"/>
              </w:rPr>
              <w:t>14.售后服务15年</w:t>
            </w:r>
          </w:p>
        </w:tc>
        <w:tc>
          <w:tcPr>
            <w:tcW w:w="7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2"/>
              </w:rPr>
            </w:pPr>
            <w:r>
              <w:rPr>
                <w:rFonts w:hint="eastAsia"/>
                <w:color w:val="000000"/>
                <w:sz w:val="22"/>
              </w:rPr>
              <w:t>40</w:t>
            </w:r>
          </w:p>
        </w:tc>
        <w:tc>
          <w:tcPr>
            <w:tcW w:w="727" w:type="dxa"/>
            <w:tcBorders>
              <w:top w:val="nil"/>
              <w:left w:val="nil"/>
              <w:bottom w:val="single" w:color="auto" w:sz="4" w:space="0"/>
              <w:right w:val="single" w:color="auto" w:sz="4" w:space="0"/>
            </w:tcBorders>
            <w:shd w:val="clear" w:color="auto" w:fill="auto"/>
            <w:noWrap/>
            <w:vAlign w:val="center"/>
          </w:tcPr>
          <w:p>
            <w:pPr>
              <w:jc w:val="right"/>
              <w:rPr>
                <w:color w:val="000000"/>
                <w:sz w:val="22"/>
              </w:rPr>
            </w:pPr>
            <w:r>
              <w:rPr>
                <w:rFonts w:hint="eastAsia"/>
                <w:color w:val="000000"/>
                <w:sz w:val="22"/>
              </w:rPr>
              <w:t>组</w:t>
            </w:r>
          </w:p>
        </w:tc>
        <w:tc>
          <w:tcPr>
            <w:tcW w:w="209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olor w:val="000000"/>
              </w:rPr>
            </w:pPr>
            <w:r>
              <w:rPr>
                <w:rFonts w:ascii="宋体" w:hAnsi="宋体" w:cs="宋体"/>
                <w:color w:val="000000"/>
                <w:kern w:val="0"/>
                <w:sz w:val="22"/>
              </w:rPr>
              <w:drawing>
                <wp:anchor distT="0" distB="0" distL="114300" distR="114300" simplePos="0" relativeHeight="251662336" behindDoc="0" locked="0" layoutInCell="1" allowOverlap="1">
                  <wp:simplePos x="0" y="0"/>
                  <wp:positionH relativeFrom="column">
                    <wp:posOffset>56515</wp:posOffset>
                  </wp:positionH>
                  <wp:positionV relativeFrom="paragraph">
                    <wp:posOffset>178435</wp:posOffset>
                  </wp:positionV>
                  <wp:extent cx="1012825" cy="1161415"/>
                  <wp:effectExtent l="0" t="0" r="8255" b="12065"/>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12825" cy="1161415"/>
                          </a:xfrm>
                          <a:prstGeom prst="rect">
                            <a:avLst/>
                          </a:prstGeom>
                          <a:noFill/>
                        </pic:spPr>
                      </pic:pic>
                    </a:graphicData>
                  </a:graphic>
                </wp:anchor>
              </w:drawing>
            </w:r>
          </w:p>
        </w:tc>
        <w:tc>
          <w:tcPr>
            <w:tcW w:w="757"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olor w:val="000000"/>
                <w:sz w:val="24"/>
                <w:szCs w:val="24"/>
              </w:rPr>
            </w:pPr>
            <w:r>
              <w:rPr>
                <w:rFonts w:hint="eastAsia" w:ascii="仿宋" w:hAnsi="仿宋" w:eastAsia="仿宋"/>
                <w:color w:val="000000"/>
              </w:rPr>
              <w:t>含税</w:t>
            </w:r>
            <w:r>
              <w:rPr>
                <w:rFonts w:hint="eastAsia" w:ascii="仿宋" w:hAnsi="仿宋" w:eastAsia="仿宋"/>
                <w:color w:val="000000"/>
              </w:rPr>
              <w:br w:type="textWrapping"/>
            </w:r>
            <w:r>
              <w:rPr>
                <w:rFonts w:hint="eastAsia" w:ascii="仿宋" w:hAnsi="仿宋" w:eastAsia="仿宋"/>
                <w:color w:val="000000"/>
              </w:rPr>
              <w:t>安装</w:t>
            </w:r>
            <w:r>
              <w:rPr>
                <w:rFonts w:hint="eastAsia" w:ascii="仿宋" w:hAnsi="仿宋" w:eastAsia="仿宋"/>
                <w:color w:val="000000"/>
              </w:rPr>
              <w:br w:type="textWrapping"/>
            </w:r>
            <w:r>
              <w:rPr>
                <w:rFonts w:hint="eastAsia" w:ascii="仿宋" w:hAnsi="仿宋" w:eastAsia="仿宋"/>
                <w:color w:val="000000"/>
              </w:rPr>
              <w:t>运输</w:t>
            </w:r>
            <w:r>
              <w:rPr>
                <w:rFonts w:hint="eastAsia" w:ascii="仿宋" w:hAnsi="仿宋" w:eastAsia="仿宋"/>
                <w:color w:val="000000"/>
              </w:rPr>
              <w:br w:type="textWrapping"/>
            </w:r>
            <w:r>
              <w:rPr>
                <w:rFonts w:hint="eastAsia" w:ascii="仿宋" w:hAnsi="仿宋" w:eastAsia="仿宋"/>
                <w:color w:val="000000"/>
              </w:rPr>
              <w:t>设计</w:t>
            </w:r>
          </w:p>
        </w:tc>
      </w:tr>
      <w:tr>
        <w:tblPrEx>
          <w:tblCellMar>
            <w:top w:w="0" w:type="dxa"/>
            <w:left w:w="108" w:type="dxa"/>
            <w:bottom w:w="0" w:type="dxa"/>
            <w:right w:w="108" w:type="dxa"/>
          </w:tblCellMar>
        </w:tblPrEx>
        <w:trPr>
          <w:trHeight w:val="1682" w:hRule="atLeast"/>
          <w:jc w:val="center"/>
        </w:trPr>
        <w:tc>
          <w:tcPr>
            <w:tcW w:w="8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1174" w:type="dxa"/>
            <w:tcBorders>
              <w:top w:val="nil"/>
              <w:left w:val="nil"/>
              <w:bottom w:val="single" w:color="auto" w:sz="4" w:space="0"/>
              <w:right w:val="single" w:color="auto" w:sz="4" w:space="0"/>
            </w:tcBorders>
            <w:shd w:val="clear" w:color="auto" w:fill="auto"/>
            <w:noWrap/>
            <w:vAlign w:val="center"/>
          </w:tcPr>
          <w:p>
            <w:pPr>
              <w:widowControl/>
              <w:rPr>
                <w:rFonts w:ascii="宋体" w:hAnsi="宋体" w:eastAsia="宋体" w:cs="宋体"/>
                <w:color w:val="000000"/>
                <w:kern w:val="0"/>
                <w:sz w:val="20"/>
                <w:szCs w:val="20"/>
              </w:rPr>
            </w:pPr>
            <w:r>
              <w:rPr>
                <w:rFonts w:hint="eastAsia"/>
                <w:color w:val="000000"/>
                <w:sz w:val="20"/>
                <w:szCs w:val="20"/>
              </w:rPr>
              <w:t>窗帘纱</w:t>
            </w:r>
          </w:p>
        </w:tc>
        <w:tc>
          <w:tcPr>
            <w:tcW w:w="25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color w:val="000000"/>
                <w:sz w:val="22"/>
              </w:rPr>
              <w:t>一、窗帘规格</w:t>
            </w:r>
            <w:r>
              <w:rPr>
                <w:rFonts w:hint="eastAsia"/>
                <w:color w:val="000000"/>
                <w:sz w:val="22"/>
              </w:rPr>
              <w:br w:type="textWrapping"/>
            </w:r>
            <w:r>
              <w:rPr>
                <w:rFonts w:hint="eastAsia"/>
                <w:color w:val="000000"/>
                <w:sz w:val="22"/>
              </w:rPr>
              <w:t>窗(推拉门)尺寸2.5* 1.6m,</w:t>
            </w:r>
            <w:r>
              <w:rPr>
                <w:rFonts w:hint="eastAsia"/>
                <w:color w:val="000000"/>
                <w:sz w:val="22"/>
              </w:rPr>
              <w:br w:type="textWrapping"/>
            </w:r>
            <w:r>
              <w:rPr>
                <w:rFonts w:hint="eastAsia"/>
                <w:color w:val="000000"/>
                <w:sz w:val="22"/>
              </w:rPr>
              <w:t>窗帘布尺寸为2.7*3.2m (即窗帘宽和窗帘布按照1:2的比例配套)，</w:t>
            </w:r>
            <w:r>
              <w:rPr>
                <w:rFonts w:hint="eastAsia"/>
                <w:color w:val="000000"/>
                <w:sz w:val="22"/>
              </w:rPr>
              <w:br w:type="textWrapping"/>
            </w:r>
            <w:r>
              <w:rPr>
                <w:rFonts w:hint="eastAsia"/>
                <w:color w:val="000000"/>
                <w:sz w:val="22"/>
              </w:rPr>
              <w:t>二、窗帘纱参数</w:t>
            </w:r>
            <w:r>
              <w:rPr>
                <w:rFonts w:hint="eastAsia"/>
                <w:color w:val="000000"/>
                <w:sz w:val="22"/>
              </w:rPr>
              <w:br w:type="textWrapping"/>
            </w:r>
            <w:r>
              <w:rPr>
                <w:rFonts w:hint="eastAsia"/>
                <w:color w:val="000000"/>
                <w:sz w:val="22"/>
              </w:rPr>
              <w:t>聚酯纤维100%</w:t>
            </w:r>
            <w:r>
              <w:rPr>
                <w:rFonts w:hint="eastAsia"/>
                <w:color w:val="000000"/>
                <w:sz w:val="22"/>
              </w:rPr>
              <w:br w:type="textWrapping"/>
            </w:r>
            <w:r>
              <w:rPr>
                <w:rFonts w:hint="eastAsia"/>
                <w:color w:val="000000"/>
                <w:sz w:val="22"/>
              </w:rPr>
              <w:t>1.甲醛含量≤300</w:t>
            </w:r>
            <w:r>
              <w:rPr>
                <w:rFonts w:hint="eastAsia"/>
                <w:color w:val="000000"/>
                <w:sz w:val="22"/>
              </w:rPr>
              <w:br w:type="textWrapping"/>
            </w:r>
            <w:r>
              <w:rPr>
                <w:rFonts w:hint="eastAsia"/>
                <w:color w:val="000000"/>
                <w:sz w:val="22"/>
              </w:rPr>
              <w:t>2.pH值4.0～9</w:t>
            </w:r>
            <w:r>
              <w:rPr>
                <w:rFonts w:hint="eastAsia"/>
                <w:color w:val="000000"/>
                <w:sz w:val="22"/>
              </w:rPr>
              <w:br w:type="textWrapping"/>
            </w:r>
            <w:r>
              <w:rPr>
                <w:rFonts w:hint="eastAsia"/>
                <w:color w:val="000000"/>
                <w:sz w:val="22"/>
              </w:rPr>
              <w:t>3.异味无</w:t>
            </w:r>
            <w:r>
              <w:rPr>
                <w:rFonts w:hint="eastAsia"/>
                <w:color w:val="000000"/>
                <w:sz w:val="22"/>
              </w:rPr>
              <w:br w:type="textWrapping"/>
            </w:r>
            <w:r>
              <w:rPr>
                <w:rFonts w:hint="eastAsia"/>
                <w:color w:val="000000"/>
                <w:sz w:val="22"/>
              </w:rPr>
              <w:t>4.AZO禁用</w:t>
            </w:r>
            <w:r>
              <w:rPr>
                <w:rFonts w:hint="eastAsia"/>
                <w:color w:val="000000"/>
                <w:sz w:val="22"/>
              </w:rPr>
              <w:br w:type="textWrapping"/>
            </w:r>
            <w:r>
              <w:rPr>
                <w:rFonts w:hint="eastAsia"/>
                <w:color w:val="000000"/>
                <w:sz w:val="22"/>
              </w:rPr>
              <w:t>5.铅含量≤1.0</w:t>
            </w:r>
            <w:r>
              <w:rPr>
                <w:rFonts w:hint="eastAsia"/>
                <w:color w:val="000000"/>
                <w:sz w:val="22"/>
              </w:rPr>
              <w:br w:type="textWrapping"/>
            </w:r>
            <w:r>
              <w:rPr>
                <w:rFonts w:hint="eastAsia"/>
                <w:color w:val="000000"/>
                <w:sz w:val="22"/>
              </w:rPr>
              <w:t>6.鉻含量≤1.0</w:t>
            </w:r>
            <w:r>
              <w:rPr>
                <w:rFonts w:hint="eastAsia"/>
                <w:color w:val="000000"/>
                <w:sz w:val="22"/>
              </w:rPr>
              <w:br w:type="textWrapping"/>
            </w:r>
            <w:r>
              <w:rPr>
                <w:rFonts w:hint="eastAsia"/>
                <w:color w:val="000000"/>
                <w:sz w:val="22"/>
              </w:rPr>
              <w:t>7.耐洗色牢度≥3～4</w:t>
            </w:r>
            <w:r>
              <w:rPr>
                <w:rFonts w:hint="eastAsia"/>
                <w:color w:val="000000"/>
                <w:sz w:val="22"/>
              </w:rPr>
              <w:br w:type="textWrapping"/>
            </w:r>
            <w:r>
              <w:rPr>
                <w:rFonts w:hint="eastAsia"/>
                <w:color w:val="000000"/>
                <w:sz w:val="22"/>
              </w:rPr>
              <w:t>8.耐光色牢度≥4～5</w:t>
            </w:r>
            <w:r>
              <w:rPr>
                <w:rFonts w:hint="eastAsia"/>
                <w:color w:val="000000"/>
                <w:sz w:val="22"/>
              </w:rPr>
              <w:br w:type="textWrapping"/>
            </w:r>
            <w:r>
              <w:rPr>
                <w:rFonts w:hint="eastAsia"/>
                <w:color w:val="000000"/>
                <w:sz w:val="22"/>
              </w:rPr>
              <w:t>9.水洗尺寸变化率+3.0～-3.0</w:t>
            </w:r>
            <w:r>
              <w:rPr>
                <w:rFonts w:hint="eastAsia"/>
                <w:color w:val="000000"/>
                <w:sz w:val="22"/>
              </w:rPr>
              <w:br w:type="textWrapping"/>
            </w:r>
            <w:r>
              <w:rPr>
                <w:rFonts w:hint="eastAsia"/>
                <w:color w:val="000000"/>
                <w:sz w:val="22"/>
              </w:rPr>
              <w:t>10.UPF值＜40</w:t>
            </w:r>
            <w:r>
              <w:rPr>
                <w:rFonts w:hint="eastAsia"/>
                <w:color w:val="000000"/>
                <w:sz w:val="22"/>
              </w:rPr>
              <w:br w:type="textWrapping"/>
            </w:r>
            <w:r>
              <w:rPr>
                <w:rFonts w:hint="eastAsia"/>
                <w:color w:val="000000"/>
                <w:sz w:val="22"/>
              </w:rPr>
              <w:t>11.遮光率小于等于98</w:t>
            </w:r>
            <w:r>
              <w:rPr>
                <w:rFonts w:hint="eastAsia"/>
                <w:color w:val="000000"/>
                <w:sz w:val="22"/>
              </w:rPr>
              <w:br w:type="textWrapping"/>
            </w:r>
            <w:r>
              <w:rPr>
                <w:rFonts w:hint="eastAsia"/>
                <w:color w:val="000000"/>
                <w:sz w:val="22"/>
              </w:rPr>
              <w:t>12隔音30dB~40dB</w:t>
            </w:r>
            <w:r>
              <w:rPr>
                <w:rFonts w:hint="eastAsia"/>
                <w:color w:val="000000"/>
                <w:sz w:val="22"/>
              </w:rPr>
              <w:br w:type="textWrapping"/>
            </w:r>
            <w:r>
              <w:rPr>
                <w:rFonts w:hint="eastAsia"/>
                <w:color w:val="000000"/>
                <w:sz w:val="22"/>
              </w:rPr>
              <w:t>13.西装工艺</w:t>
            </w:r>
            <w:r>
              <w:rPr>
                <w:rFonts w:hint="eastAsia"/>
                <w:color w:val="000000"/>
                <w:sz w:val="22"/>
              </w:rPr>
              <w:br w:type="textWrapping"/>
            </w:r>
            <w:r>
              <w:rPr>
                <w:rFonts w:hint="eastAsia"/>
                <w:color w:val="000000"/>
                <w:sz w:val="22"/>
              </w:rPr>
              <w:t>14.售后服务15年</w:t>
            </w:r>
          </w:p>
        </w:tc>
        <w:tc>
          <w:tcPr>
            <w:tcW w:w="770" w:type="dxa"/>
            <w:tcBorders>
              <w:top w:val="nil"/>
              <w:left w:val="nil"/>
              <w:bottom w:val="single" w:color="auto" w:sz="4" w:space="0"/>
              <w:right w:val="single" w:color="auto" w:sz="4" w:space="0"/>
            </w:tcBorders>
            <w:shd w:val="clear" w:color="auto" w:fill="auto"/>
            <w:noWrap/>
            <w:vAlign w:val="center"/>
          </w:tcPr>
          <w:p>
            <w:pPr>
              <w:jc w:val="right"/>
              <w:rPr>
                <w:color w:val="000000"/>
                <w:sz w:val="22"/>
              </w:rPr>
            </w:pPr>
            <w:r>
              <w:rPr>
                <w:rFonts w:hint="eastAsia"/>
                <w:color w:val="000000"/>
                <w:sz w:val="22"/>
              </w:rPr>
              <w:t>40</w:t>
            </w:r>
          </w:p>
        </w:tc>
        <w:tc>
          <w:tcPr>
            <w:tcW w:w="727" w:type="dxa"/>
            <w:tcBorders>
              <w:top w:val="nil"/>
              <w:left w:val="nil"/>
              <w:bottom w:val="single" w:color="auto" w:sz="4" w:space="0"/>
              <w:right w:val="single" w:color="auto" w:sz="4" w:space="0"/>
            </w:tcBorders>
            <w:shd w:val="clear" w:color="auto" w:fill="auto"/>
            <w:noWrap/>
            <w:vAlign w:val="center"/>
          </w:tcPr>
          <w:p>
            <w:pPr>
              <w:jc w:val="right"/>
              <w:rPr>
                <w:color w:val="000000"/>
                <w:sz w:val="22"/>
              </w:rPr>
            </w:pPr>
            <w:r>
              <w:rPr>
                <w:rFonts w:hint="eastAsia"/>
                <w:color w:val="000000"/>
                <w:sz w:val="22"/>
              </w:rPr>
              <w:t>组</w:t>
            </w:r>
          </w:p>
        </w:tc>
        <w:tc>
          <w:tcPr>
            <w:tcW w:w="2093" w:type="dxa"/>
            <w:tcBorders>
              <w:top w:val="nil"/>
              <w:left w:val="nil"/>
              <w:bottom w:val="single" w:color="auto" w:sz="4" w:space="0"/>
              <w:right w:val="single" w:color="auto" w:sz="4" w:space="0"/>
            </w:tcBorders>
            <w:shd w:val="clear" w:color="auto" w:fill="auto"/>
            <w:vAlign w:val="center"/>
          </w:tcPr>
          <w:p>
            <w:pPr>
              <w:widowControl/>
              <w:jc w:val="left"/>
              <w:rPr>
                <w:rFonts w:hint="eastAsia" w:ascii="仿宋" w:hAnsi="仿宋" w:eastAsia="仿宋"/>
                <w:color w:val="000000"/>
              </w:rPr>
            </w:pPr>
            <w:r>
              <w:drawing>
                <wp:inline distT="0" distB="0" distL="0" distR="0">
                  <wp:extent cx="1229995" cy="1254125"/>
                  <wp:effectExtent l="0" t="0" r="4445" b="1079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
                          <a:srcRect/>
                          <a:stretch>
                            <a:fillRect/>
                          </a:stretch>
                        </pic:blipFill>
                        <pic:spPr>
                          <a:xfrm>
                            <a:off x="0" y="0"/>
                            <a:ext cx="1229995" cy="1254125"/>
                          </a:xfrm>
                          <a:prstGeom prst="rect">
                            <a:avLst/>
                          </a:prstGeom>
                        </pic:spPr>
                      </pic:pic>
                    </a:graphicData>
                  </a:graphic>
                </wp:inline>
              </w:drawing>
            </w:r>
          </w:p>
        </w:tc>
        <w:tc>
          <w:tcPr>
            <w:tcW w:w="757" w:type="dxa"/>
            <w:tcBorders>
              <w:top w:val="nil"/>
              <w:left w:val="nil"/>
              <w:bottom w:val="single" w:color="auto" w:sz="4" w:space="0"/>
              <w:right w:val="single" w:color="auto" w:sz="4" w:space="0"/>
            </w:tcBorders>
            <w:shd w:val="clear" w:color="auto" w:fill="auto"/>
            <w:vAlign w:val="center"/>
          </w:tcPr>
          <w:p>
            <w:pPr>
              <w:jc w:val="center"/>
              <w:rPr>
                <w:rFonts w:ascii="仿宋" w:hAnsi="仿宋" w:eastAsia="仿宋"/>
                <w:color w:val="000000"/>
                <w:sz w:val="24"/>
                <w:szCs w:val="24"/>
              </w:rPr>
            </w:pPr>
            <w:r>
              <w:rPr>
                <w:rFonts w:hint="eastAsia" w:ascii="仿宋" w:hAnsi="仿宋" w:eastAsia="仿宋"/>
                <w:color w:val="000000"/>
              </w:rPr>
              <w:t>含税</w:t>
            </w:r>
            <w:r>
              <w:rPr>
                <w:rFonts w:hint="eastAsia" w:ascii="仿宋" w:hAnsi="仿宋" w:eastAsia="仿宋"/>
                <w:color w:val="000000"/>
              </w:rPr>
              <w:br w:type="textWrapping"/>
            </w:r>
            <w:r>
              <w:rPr>
                <w:rFonts w:hint="eastAsia" w:ascii="仿宋" w:hAnsi="仿宋" w:eastAsia="仿宋"/>
                <w:color w:val="000000"/>
              </w:rPr>
              <w:t>安装</w:t>
            </w:r>
            <w:r>
              <w:rPr>
                <w:rFonts w:hint="eastAsia" w:ascii="仿宋" w:hAnsi="仿宋" w:eastAsia="仿宋"/>
                <w:color w:val="000000"/>
              </w:rPr>
              <w:br w:type="textWrapping"/>
            </w:r>
            <w:r>
              <w:rPr>
                <w:rFonts w:hint="eastAsia" w:ascii="仿宋" w:hAnsi="仿宋" w:eastAsia="仿宋"/>
                <w:color w:val="000000"/>
              </w:rPr>
              <w:t>运输</w:t>
            </w:r>
            <w:r>
              <w:rPr>
                <w:rFonts w:hint="eastAsia" w:ascii="仿宋" w:hAnsi="仿宋" w:eastAsia="仿宋"/>
                <w:color w:val="000000"/>
              </w:rPr>
              <w:br w:type="textWrapping"/>
            </w:r>
            <w:r>
              <w:rPr>
                <w:rFonts w:hint="eastAsia" w:ascii="仿宋" w:hAnsi="仿宋" w:eastAsia="仿宋"/>
                <w:color w:val="000000"/>
              </w:rPr>
              <w:t>设计</w:t>
            </w:r>
          </w:p>
        </w:tc>
      </w:tr>
      <w:tr>
        <w:tblPrEx>
          <w:tblCellMar>
            <w:top w:w="0" w:type="dxa"/>
            <w:left w:w="108" w:type="dxa"/>
            <w:bottom w:w="0" w:type="dxa"/>
            <w:right w:w="108" w:type="dxa"/>
          </w:tblCellMar>
        </w:tblPrEx>
        <w:trPr>
          <w:trHeight w:val="4399" w:hRule="atLeast"/>
          <w:jc w:val="center"/>
        </w:trPr>
        <w:tc>
          <w:tcPr>
            <w:tcW w:w="8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ascii="宋体" w:hAnsi="宋体" w:cs="宋体"/>
                <w:color w:val="000000"/>
                <w:kern w:val="0"/>
                <w:sz w:val="22"/>
              </w:rPr>
              <w:t>4</w:t>
            </w:r>
          </w:p>
        </w:tc>
        <w:tc>
          <w:tcPr>
            <w:tcW w:w="117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color w:val="000000"/>
                <w:sz w:val="22"/>
              </w:rPr>
              <w:t>窗帘辅料</w:t>
            </w:r>
          </w:p>
        </w:tc>
        <w:tc>
          <w:tcPr>
            <w:tcW w:w="2568" w:type="dxa"/>
            <w:tcBorders>
              <w:top w:val="nil"/>
              <w:left w:val="nil"/>
              <w:bottom w:val="single" w:color="auto" w:sz="4" w:space="0"/>
              <w:right w:val="single" w:color="auto" w:sz="4" w:space="0"/>
            </w:tcBorders>
            <w:shd w:val="clear" w:color="auto" w:fill="auto"/>
            <w:vAlign w:val="center"/>
          </w:tcPr>
          <w:p>
            <w:pPr>
              <w:jc w:val="left"/>
              <w:rPr>
                <w:rFonts w:hint="eastAsia"/>
                <w:color w:val="000000"/>
                <w:sz w:val="22"/>
              </w:rPr>
            </w:pPr>
            <w:r>
              <w:rPr>
                <w:rFonts w:hint="eastAsia"/>
                <w:color w:val="000000"/>
                <w:sz w:val="22"/>
              </w:rPr>
              <w:t>配件基本要求</w:t>
            </w:r>
            <w:r>
              <w:rPr>
                <w:rFonts w:hint="eastAsia"/>
                <w:color w:val="000000"/>
                <w:sz w:val="22"/>
              </w:rPr>
              <w:br w:type="textWrapping"/>
            </w:r>
            <w:r>
              <w:rPr>
                <w:rFonts w:hint="eastAsia"/>
                <w:color w:val="000000"/>
                <w:sz w:val="22"/>
              </w:rPr>
              <w:t>1布带:①规格:有纺棉布制作，布带加厚、抗老化;</w:t>
            </w:r>
            <w:r>
              <w:rPr>
                <w:rFonts w:hint="eastAsia"/>
                <w:color w:val="000000"/>
                <w:sz w:val="22"/>
              </w:rPr>
              <w:br w:type="textWrapping"/>
            </w:r>
            <w:r>
              <w:rPr>
                <w:rFonts w:hint="eastAsia"/>
                <w:color w:val="000000"/>
                <w:sz w:val="22"/>
              </w:rPr>
              <w:t>2.纳米艺术圈:①采用进口ABSUV纳米艺术圈;②静音、超滑，</w:t>
            </w:r>
            <w:r>
              <w:rPr>
                <w:rFonts w:hint="eastAsia"/>
                <w:color w:val="000000"/>
                <w:sz w:val="22"/>
              </w:rPr>
              <w:br w:type="textWrapping"/>
            </w:r>
            <w:r>
              <w:rPr>
                <w:rFonts w:hint="eastAsia"/>
                <w:color w:val="000000"/>
                <w:sz w:val="22"/>
              </w:rPr>
              <w:t>抗老化。</w:t>
            </w:r>
          </w:p>
        </w:tc>
        <w:tc>
          <w:tcPr>
            <w:tcW w:w="77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2"/>
              </w:rPr>
            </w:pPr>
            <w:r>
              <w:rPr>
                <w:rFonts w:hint="eastAsia"/>
                <w:color w:val="000000"/>
                <w:sz w:val="22"/>
              </w:rPr>
              <w:t>40</w:t>
            </w:r>
          </w:p>
        </w:tc>
        <w:tc>
          <w:tcPr>
            <w:tcW w:w="727" w:type="dxa"/>
            <w:tcBorders>
              <w:top w:val="nil"/>
              <w:left w:val="nil"/>
              <w:bottom w:val="single" w:color="auto" w:sz="4" w:space="0"/>
              <w:right w:val="single" w:color="auto" w:sz="4" w:space="0"/>
            </w:tcBorders>
            <w:shd w:val="clear" w:color="auto" w:fill="auto"/>
            <w:noWrap/>
            <w:vAlign w:val="center"/>
          </w:tcPr>
          <w:p>
            <w:pPr>
              <w:jc w:val="center"/>
              <w:rPr>
                <w:rFonts w:ascii="仿宋" w:hAnsi="仿宋" w:eastAsia="仿宋"/>
                <w:color w:val="000000"/>
                <w:sz w:val="24"/>
                <w:szCs w:val="24"/>
              </w:rPr>
            </w:pPr>
            <w:r>
              <w:rPr>
                <w:rFonts w:hint="eastAsia"/>
                <w:color w:val="000000"/>
                <w:sz w:val="22"/>
              </w:rPr>
              <w:t>组</w:t>
            </w:r>
          </w:p>
        </w:tc>
        <w:tc>
          <w:tcPr>
            <w:tcW w:w="20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drawing>
                <wp:anchor distT="0" distB="0" distL="114300" distR="114300" simplePos="0" relativeHeight="251665408" behindDoc="0" locked="0" layoutInCell="1" allowOverlap="1">
                  <wp:simplePos x="0" y="0"/>
                  <wp:positionH relativeFrom="column">
                    <wp:posOffset>666750</wp:posOffset>
                  </wp:positionH>
                  <wp:positionV relativeFrom="paragraph">
                    <wp:posOffset>1746250</wp:posOffset>
                  </wp:positionV>
                  <wp:extent cx="568325" cy="883920"/>
                  <wp:effectExtent l="0" t="0" r="10795" b="0"/>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0"/>
                          <a:srcRect/>
                          <a:stretch>
                            <a:fillRect/>
                          </a:stretch>
                        </pic:blipFill>
                        <pic:spPr>
                          <a:xfrm>
                            <a:off x="0" y="0"/>
                            <a:ext cx="568325" cy="883920"/>
                          </a:xfrm>
                          <a:prstGeom prst="rect">
                            <a:avLst/>
                          </a:prstGeom>
                        </pic:spPr>
                      </pic:pic>
                    </a:graphicData>
                  </a:graphic>
                </wp:anchor>
              </w:drawing>
            </w:r>
            <w:r>
              <w:drawing>
                <wp:anchor distT="0" distB="0" distL="114300" distR="114300" simplePos="0" relativeHeight="251666432" behindDoc="0" locked="0" layoutInCell="1" allowOverlap="1">
                  <wp:simplePos x="0" y="0"/>
                  <wp:positionH relativeFrom="column">
                    <wp:posOffset>637540</wp:posOffset>
                  </wp:positionH>
                  <wp:positionV relativeFrom="paragraph">
                    <wp:posOffset>484505</wp:posOffset>
                  </wp:positionV>
                  <wp:extent cx="591185" cy="785495"/>
                  <wp:effectExtent l="0" t="0" r="3175" b="698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
                          <a:srcRect/>
                          <a:stretch>
                            <a:fillRect/>
                          </a:stretch>
                        </pic:blipFill>
                        <pic:spPr>
                          <a:xfrm>
                            <a:off x="0" y="0"/>
                            <a:ext cx="591185" cy="785495"/>
                          </a:xfrm>
                          <a:prstGeom prst="rect">
                            <a:avLst/>
                          </a:prstGeom>
                        </pic:spPr>
                      </pic:pic>
                    </a:graphicData>
                  </a:graphic>
                </wp:anchor>
              </w:drawing>
            </w:r>
            <w:r>
              <w:drawing>
                <wp:anchor distT="0" distB="0" distL="114300" distR="114300" simplePos="0" relativeHeight="251664384" behindDoc="0" locked="0" layoutInCell="1" allowOverlap="1">
                  <wp:simplePos x="0" y="0"/>
                  <wp:positionH relativeFrom="column">
                    <wp:posOffset>-9525</wp:posOffset>
                  </wp:positionH>
                  <wp:positionV relativeFrom="paragraph">
                    <wp:posOffset>1291590</wp:posOffset>
                  </wp:positionV>
                  <wp:extent cx="628650" cy="937260"/>
                  <wp:effectExtent l="0" t="0" r="11430" b="7620"/>
                  <wp:wrapNone/>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2"/>
                          <a:srcRect/>
                          <a:stretch>
                            <a:fillRect/>
                          </a:stretch>
                        </pic:blipFill>
                        <pic:spPr>
                          <a:xfrm>
                            <a:off x="0" y="0"/>
                            <a:ext cx="628650" cy="937260"/>
                          </a:xfrm>
                          <a:prstGeom prst="rect">
                            <a:avLst/>
                          </a:prstGeom>
                        </pic:spPr>
                      </pic:pic>
                    </a:graphicData>
                  </a:graphic>
                </wp:anchor>
              </w:drawing>
            </w:r>
            <w:r>
              <w:drawing>
                <wp:anchor distT="0" distB="0" distL="114300" distR="114300" simplePos="0" relativeHeight="251663360" behindDoc="0" locked="0" layoutInCell="1" allowOverlap="1">
                  <wp:simplePos x="0" y="0"/>
                  <wp:positionH relativeFrom="column">
                    <wp:posOffset>-45085</wp:posOffset>
                  </wp:positionH>
                  <wp:positionV relativeFrom="paragraph">
                    <wp:posOffset>65405</wp:posOffset>
                  </wp:positionV>
                  <wp:extent cx="628650" cy="708660"/>
                  <wp:effectExtent l="0" t="0" r="11430" b="7620"/>
                  <wp:wrapNone/>
                  <wp:docPr id="16" name="图片 2" descr="e72c32a3a74bcb3ee75f5d1dd5c9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e72c32a3a74bcb3ee75f5d1dd5c9104"/>
                          <pic:cNvPicPr>
                            <a:picLocks noChangeAspect="1"/>
                          </pic:cNvPicPr>
                        </pic:nvPicPr>
                        <pic:blipFill>
                          <a:blip r:embed="rId13"/>
                          <a:srcRect/>
                          <a:stretch>
                            <a:fillRect/>
                          </a:stretch>
                        </pic:blipFill>
                        <pic:spPr>
                          <a:xfrm>
                            <a:off x="0" y="0"/>
                            <a:ext cx="628650" cy="708660"/>
                          </a:xfrm>
                          <a:prstGeom prst="rect">
                            <a:avLst/>
                          </a:prstGeom>
                        </pic:spPr>
                      </pic:pic>
                    </a:graphicData>
                  </a:graphic>
                </wp:anchor>
              </w:drawing>
            </w:r>
          </w:p>
        </w:tc>
        <w:tc>
          <w:tcPr>
            <w:tcW w:w="75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eastAsia="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945" w:type="dxa"/>
            <w:gridSpan w:val="7"/>
            <w:vAlign w:val="center"/>
          </w:tcPr>
          <w:p>
            <w:pPr>
              <w:spacing w:line="260" w:lineRule="exact"/>
              <w:rPr>
                <w:rFonts w:hint="eastAsia" w:ascii="宋体" w:hAnsi="宋体" w:eastAsia="宋体" w:cs="宋体"/>
                <w:sz w:val="24"/>
                <w:szCs w:val="24"/>
                <w:lang w:eastAsia="zh-CN"/>
              </w:rPr>
            </w:pPr>
            <w:r>
              <w:rPr>
                <w:rFonts w:hint="eastAsia" w:ascii="宋体" w:hAnsi="宋体" w:eastAsia="宋体" w:cs="宋体"/>
                <w:b/>
                <w:bCs/>
                <w:sz w:val="24"/>
                <w:szCs w:val="24"/>
                <w:lang w:eastAsia="zh-CN"/>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2030" w:type="dxa"/>
            <w:gridSpan w:val="2"/>
            <w:vAlign w:val="center"/>
          </w:tcPr>
          <w:p>
            <w:pPr>
              <w:spacing w:line="260" w:lineRule="exact"/>
              <w:jc w:val="center"/>
              <w:rPr>
                <w:rFonts w:ascii="宋体" w:hAnsi="宋体" w:cs="宋体"/>
                <w:sz w:val="24"/>
              </w:rPr>
            </w:pPr>
            <w:r>
              <w:rPr>
                <w:rFonts w:hint="eastAsia" w:ascii="宋体" w:hAnsi="宋体" w:eastAsia="宋体" w:cs="宋体"/>
                <w:sz w:val="24"/>
                <w:szCs w:val="24"/>
              </w:rPr>
              <w:t>交付时间地点</w:t>
            </w:r>
          </w:p>
        </w:tc>
        <w:tc>
          <w:tcPr>
            <w:tcW w:w="6915" w:type="dxa"/>
            <w:gridSpan w:val="5"/>
            <w:vAlign w:val="center"/>
          </w:tcPr>
          <w:p>
            <w:pPr>
              <w:spacing w:line="260" w:lineRule="exact"/>
              <w:rPr>
                <w:rFonts w:ascii="宋体" w:hAnsi="宋体" w:cs="宋体"/>
                <w:sz w:val="24"/>
                <w:highlight w:val="none"/>
              </w:rPr>
            </w:pPr>
            <w:r>
              <w:rPr>
                <w:rFonts w:hint="eastAsia" w:ascii="宋体" w:hAnsi="宋体" w:eastAsia="宋体" w:cs="宋体"/>
                <w:sz w:val="24"/>
                <w:szCs w:val="24"/>
              </w:rPr>
              <w:t>1、签订合同时间：自中标通知书发</w:t>
            </w:r>
            <w:r>
              <w:rPr>
                <w:rFonts w:hint="eastAsia" w:ascii="宋体" w:hAnsi="宋体" w:eastAsia="宋体" w:cs="宋体"/>
                <w:sz w:val="24"/>
                <w:szCs w:val="24"/>
                <w:highlight w:val="none"/>
              </w:rPr>
              <w:t>出之日起2个工作日内。</w:t>
            </w:r>
          </w:p>
          <w:p>
            <w:pPr>
              <w:spacing w:line="260" w:lineRule="exact"/>
              <w:rPr>
                <w:rFonts w:ascii="宋体" w:hAnsi="宋体" w:cs="宋体"/>
                <w:sz w:val="24"/>
                <w:highlight w:val="none"/>
              </w:rPr>
            </w:pPr>
            <w:r>
              <w:rPr>
                <w:rFonts w:hint="eastAsia" w:ascii="宋体" w:hAnsi="宋体" w:eastAsia="宋体" w:cs="宋体"/>
                <w:sz w:val="24"/>
                <w:szCs w:val="24"/>
                <w:highlight w:val="none"/>
              </w:rPr>
              <w:t>2、交付地点：采购人指定的地点（广西南宁市武鸣区红岭大道588号广西工商职业技术学院武鸣校区</w:t>
            </w:r>
            <w:r>
              <w:rPr>
                <w:rFonts w:hint="eastAsia" w:ascii="宋体" w:hAnsi="宋体" w:cs="宋体"/>
                <w:sz w:val="24"/>
                <w:szCs w:val="24"/>
                <w:highlight w:val="none"/>
              </w:rPr>
              <w:t>）</w:t>
            </w:r>
          </w:p>
          <w:p>
            <w:pPr>
              <w:spacing w:line="260" w:lineRule="exact"/>
              <w:rPr>
                <w:rFonts w:ascii="宋体" w:hAnsi="宋体" w:cs="宋体"/>
                <w:sz w:val="24"/>
              </w:rPr>
            </w:pPr>
            <w:r>
              <w:rPr>
                <w:rFonts w:hint="eastAsia" w:ascii="宋体" w:hAnsi="宋体" w:eastAsia="宋体" w:cs="宋体"/>
                <w:sz w:val="24"/>
                <w:szCs w:val="24"/>
                <w:highlight w:val="none"/>
              </w:rPr>
              <w:t>3、交货安装期：自合同签订之日起4日内将采购产品运抵采购人指定地点并完成安装，经采购人对产品初</w:t>
            </w:r>
            <w:r>
              <w:rPr>
                <w:rFonts w:hint="eastAsia" w:ascii="宋体" w:hAnsi="宋体" w:eastAsia="宋体" w:cs="宋体"/>
                <w:sz w:val="24"/>
                <w:szCs w:val="24"/>
              </w:rPr>
              <w:t>验合格后，供应商将全部空调安装、调试至正常使用状态并经采购人终验合格；未经采购人终验合格视为供应商未能交货。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2030" w:type="dxa"/>
            <w:gridSpan w:val="2"/>
            <w:vAlign w:val="center"/>
          </w:tcPr>
          <w:p>
            <w:pPr>
              <w:jc w:val="center"/>
              <w:rPr>
                <w:rFonts w:ascii="宋体" w:hAnsi="宋体" w:cs="宋体"/>
                <w:sz w:val="24"/>
              </w:rPr>
            </w:pPr>
            <w:r>
              <w:rPr>
                <w:rFonts w:hint="eastAsia" w:ascii="宋体" w:hAnsi="宋体" w:eastAsia="宋体" w:cs="宋体"/>
                <w:sz w:val="24"/>
                <w:szCs w:val="24"/>
              </w:rPr>
              <w:t>付款条件（进度和方式）</w:t>
            </w:r>
          </w:p>
        </w:tc>
        <w:tc>
          <w:tcPr>
            <w:tcW w:w="6915" w:type="dxa"/>
            <w:gridSpan w:val="5"/>
            <w:vAlign w:val="center"/>
          </w:tcPr>
          <w:p>
            <w:pPr>
              <w:jc w:val="left"/>
              <w:rPr>
                <w:rFonts w:ascii="宋体" w:hAnsi="宋体" w:cs="宋体"/>
                <w:sz w:val="24"/>
              </w:rPr>
            </w:pPr>
            <w:r>
              <w:rPr>
                <w:rFonts w:hint="eastAsia" w:ascii="宋体" w:hAnsi="宋体" w:eastAsia="宋体" w:cs="宋体"/>
                <w:sz w:val="24"/>
                <w:szCs w:val="24"/>
              </w:rPr>
              <w:t>付款条件</w:t>
            </w:r>
            <w:r>
              <w:rPr>
                <w:rFonts w:hint="eastAsia" w:ascii="宋体" w:hAnsi="宋体" w:eastAsia="宋体" w:cs="宋体"/>
                <w:sz w:val="24"/>
                <w:szCs w:val="24"/>
                <w:highlight w:val="none"/>
              </w:rPr>
              <w:t>：本项目无预付款，货到交货地点且安装完毕经过采购人确认后验收合格后，供应商开具发票给采购人，采购人收到发票后1</w:t>
            </w:r>
            <w:r>
              <w:rPr>
                <w:rFonts w:ascii="宋体" w:hAnsi="宋体" w:eastAsia="宋体" w:cs="宋体"/>
                <w:sz w:val="24"/>
                <w:szCs w:val="24"/>
                <w:highlight w:val="none"/>
              </w:rPr>
              <w:t>5</w:t>
            </w:r>
            <w:r>
              <w:rPr>
                <w:rFonts w:hint="eastAsia" w:ascii="宋体" w:hAnsi="宋体" w:eastAsia="宋体" w:cs="宋体"/>
                <w:sz w:val="24"/>
                <w:szCs w:val="24"/>
                <w:highlight w:val="none"/>
              </w:rPr>
              <w:t>个工作日支</w:t>
            </w:r>
            <w:r>
              <w:rPr>
                <w:rFonts w:hint="eastAsia" w:ascii="宋体" w:hAnsi="宋体" w:eastAsia="宋体" w:cs="宋体"/>
                <w:sz w:val="24"/>
                <w:szCs w:val="24"/>
              </w:rPr>
              <w:t>付100%的合同价款。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030" w:type="dxa"/>
            <w:gridSpan w:val="2"/>
            <w:vAlign w:val="center"/>
          </w:tcPr>
          <w:p>
            <w:pPr>
              <w:jc w:val="center"/>
              <w:rPr>
                <w:rFonts w:ascii="宋体" w:hAnsi="宋体" w:cs="宋体"/>
                <w:sz w:val="24"/>
              </w:rPr>
            </w:pPr>
            <w:r>
              <w:rPr>
                <w:rFonts w:hint="eastAsia" w:ascii="宋体" w:hAnsi="宋体" w:eastAsia="宋体" w:cs="宋体"/>
                <w:sz w:val="24"/>
                <w:szCs w:val="24"/>
              </w:rPr>
              <w:t>包装和运输</w:t>
            </w:r>
          </w:p>
        </w:tc>
        <w:tc>
          <w:tcPr>
            <w:tcW w:w="6915" w:type="dxa"/>
            <w:gridSpan w:val="5"/>
            <w:vAlign w:val="center"/>
          </w:tcPr>
          <w:p>
            <w:pPr>
              <w:spacing w:line="300" w:lineRule="exact"/>
              <w:rPr>
                <w:rFonts w:ascii="宋体" w:hAnsi="宋体" w:cs="宋体"/>
                <w:sz w:val="24"/>
              </w:rPr>
            </w:pPr>
            <w:r>
              <w:rPr>
                <w:rFonts w:hint="eastAsia" w:ascii="宋体" w:hAnsi="宋体" w:eastAsia="宋体" w:cs="宋体"/>
                <w:sz w:val="24"/>
                <w:szCs w:val="24"/>
              </w:rPr>
              <w:t>1、供应商所投标的设备必须是全新、完整、未使用过的产品。设备必须为符合国家有关质量安全标准的合格产品。产品零部件、配件、包装及安装材料必须是未经使用的全新的并符合国家有关质量安全标准的合格产品。</w:t>
            </w:r>
          </w:p>
          <w:p>
            <w:pPr>
              <w:spacing w:line="300" w:lineRule="exact"/>
              <w:jc w:val="left"/>
              <w:rPr>
                <w:rFonts w:ascii="宋体" w:hAnsi="宋体" w:cs="宋体"/>
                <w:sz w:val="24"/>
              </w:rPr>
            </w:pPr>
            <w:r>
              <w:rPr>
                <w:rFonts w:hint="eastAsia" w:ascii="宋体" w:hAnsi="宋体" w:eastAsia="宋体" w:cs="宋体"/>
                <w:sz w:val="24"/>
                <w:szCs w:val="24"/>
              </w:rPr>
              <w:t>2、供应商提供的全部货物均应按国家标准中关于包装、储运指示标志的规定及其他相关规定进行包装。该包装应适于远程运输和反复装卸，并具有防潮、防震、防锈、防霉等作用，以确保货物安全无损地运抵采购人指定地点。由于包装不善所引起的货物锈蚀、损坏和损失均由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3" w:hRule="atLeast"/>
          <w:jc w:val="center"/>
        </w:trPr>
        <w:tc>
          <w:tcPr>
            <w:tcW w:w="2030" w:type="dxa"/>
            <w:gridSpan w:val="2"/>
            <w:vAlign w:val="center"/>
          </w:tcPr>
          <w:p>
            <w:pPr>
              <w:jc w:val="center"/>
              <w:rPr>
                <w:rFonts w:ascii="宋体" w:hAnsi="宋体" w:cs="宋体"/>
                <w:sz w:val="24"/>
                <w:highlight w:val="none"/>
              </w:rPr>
            </w:pPr>
            <w:r>
              <w:rPr>
                <w:rFonts w:hint="eastAsia" w:ascii="宋体" w:hAnsi="宋体" w:eastAsia="宋体" w:cs="宋体"/>
                <w:sz w:val="24"/>
                <w:szCs w:val="24"/>
                <w:highlight w:val="none"/>
              </w:rPr>
              <w:t>售后服务及保险等</w:t>
            </w:r>
          </w:p>
        </w:tc>
        <w:tc>
          <w:tcPr>
            <w:tcW w:w="6915" w:type="dxa"/>
            <w:gridSpan w:val="5"/>
            <w:vAlign w:val="center"/>
          </w:tcPr>
          <w:p>
            <w:pPr>
              <w:spacing w:line="300" w:lineRule="exact"/>
              <w:rPr>
                <w:rFonts w:ascii="宋体" w:hAnsi="宋体" w:cs="宋体"/>
                <w:sz w:val="24"/>
                <w:highlight w:val="none"/>
              </w:rPr>
            </w:pPr>
            <w:r>
              <w:rPr>
                <w:rFonts w:hint="eastAsia" w:ascii="宋体" w:hAnsi="宋体" w:eastAsia="宋体" w:cs="宋体"/>
                <w:sz w:val="24"/>
                <w:szCs w:val="24"/>
                <w:highlight w:val="none"/>
              </w:rPr>
              <w:t>★1、供应商应当保证其所提供的产品为符合国家知识产权法律法规要求的正规正版产品，否则视为虚假应标。投标供应商必须实质性能够满足产品的参数要求，产品必须是具备厂家合法渠道的全新正品，必须按厂家承诺实行“三包”。</w:t>
            </w:r>
          </w:p>
          <w:p>
            <w:pPr>
              <w:spacing w:line="300" w:lineRule="exact"/>
              <w:rPr>
                <w:rFonts w:ascii="宋体" w:hAnsi="宋体" w:cs="宋体"/>
                <w:sz w:val="24"/>
                <w:highlight w:val="none"/>
              </w:rPr>
            </w:pPr>
            <w:r>
              <w:rPr>
                <w:rFonts w:hint="eastAsia" w:ascii="宋体" w:hAnsi="宋体" w:eastAsia="宋体" w:cs="宋体"/>
                <w:sz w:val="24"/>
                <w:szCs w:val="24"/>
                <w:highlight w:val="none"/>
              </w:rPr>
              <w:t>★2、供应商按国家有关产品“三包”规定执行“三包”,提供质保服务。本项目质保期</w:t>
            </w:r>
            <w:r>
              <w:rPr>
                <w:rFonts w:ascii="宋体" w:hAnsi="宋体" w:eastAsia="宋体" w:cs="宋体"/>
                <w:sz w:val="24"/>
                <w:szCs w:val="24"/>
                <w:highlight w:val="none"/>
              </w:rPr>
              <w:t>15</w:t>
            </w:r>
            <w:r>
              <w:rPr>
                <w:rFonts w:hint="eastAsia" w:ascii="宋体" w:hAnsi="宋体" w:eastAsia="宋体" w:cs="宋体"/>
                <w:sz w:val="24"/>
                <w:szCs w:val="24"/>
                <w:highlight w:val="none"/>
              </w:rPr>
              <w:t>年。</w:t>
            </w:r>
          </w:p>
          <w:p>
            <w:pPr>
              <w:spacing w:line="300" w:lineRule="exact"/>
              <w:rPr>
                <w:rFonts w:ascii="宋体" w:hAnsi="宋体" w:cs="宋体"/>
                <w:sz w:val="24"/>
                <w:highlight w:val="none"/>
              </w:rPr>
            </w:pPr>
            <w:r>
              <w:rPr>
                <w:rFonts w:hint="eastAsia" w:ascii="宋体" w:hAnsi="宋体" w:eastAsia="宋体" w:cs="宋体"/>
                <w:sz w:val="24"/>
                <w:szCs w:val="24"/>
                <w:highlight w:val="none"/>
              </w:rPr>
              <w:t>3、质保期内提供免费服务（含部件、人力、上门等），保修期自双方代表在安装调试后的验收证明文件上签字之日起计算，质保期满后，中标人仍应提供维修服务，可按维修件成本收费。</w:t>
            </w:r>
          </w:p>
          <w:p>
            <w:pPr>
              <w:spacing w:line="300" w:lineRule="exact"/>
              <w:rPr>
                <w:rFonts w:ascii="宋体" w:hAnsi="宋体" w:cs="宋体"/>
                <w:sz w:val="24"/>
                <w:highlight w:val="none"/>
              </w:rPr>
            </w:pPr>
            <w:r>
              <w:rPr>
                <w:rFonts w:hint="eastAsia" w:ascii="宋体" w:hAnsi="宋体" w:eastAsia="宋体" w:cs="宋体"/>
                <w:sz w:val="24"/>
                <w:szCs w:val="24"/>
                <w:highlight w:val="none"/>
              </w:rPr>
              <w:t>★4、考虑到项目需要上门安装调试,供应商应在交付地点范围具有提供本地化服务的能力（提供依据），提供24小时维修服务。维修人员须在接到报修电话后</w:t>
            </w:r>
            <w:r>
              <w:rPr>
                <w:rFonts w:ascii="宋体" w:hAnsi="宋体" w:eastAsia="宋体" w:cs="宋体"/>
                <w:sz w:val="24"/>
                <w:szCs w:val="24"/>
                <w:highlight w:val="none"/>
              </w:rPr>
              <w:t>6</w:t>
            </w:r>
            <w:r>
              <w:rPr>
                <w:rFonts w:hint="eastAsia" w:ascii="宋体" w:hAnsi="宋体" w:eastAsia="宋体" w:cs="宋体"/>
                <w:sz w:val="24"/>
                <w:szCs w:val="24"/>
                <w:highlight w:val="none"/>
              </w:rPr>
              <w:t>小时内赶到现场，提供不间断服务直到故障排除，1个工作日内维修好。在规定时间内不能解决问题的产品应在24小时内提供等同档次产品给采购人使用。</w:t>
            </w:r>
          </w:p>
          <w:p>
            <w:pPr>
              <w:spacing w:line="300" w:lineRule="exact"/>
              <w:jc w:val="left"/>
              <w:rPr>
                <w:rFonts w:ascii="宋体" w:hAnsi="宋体" w:cs="宋体"/>
                <w:sz w:val="24"/>
                <w:highlight w:val="none"/>
              </w:rPr>
            </w:pPr>
            <w:r>
              <w:rPr>
                <w:rFonts w:hint="eastAsia" w:ascii="宋体" w:hAnsi="宋体" w:eastAsia="宋体" w:cs="宋体"/>
                <w:sz w:val="24"/>
                <w:szCs w:val="24"/>
                <w:highlight w:val="none"/>
              </w:rPr>
              <w:t>5、供应商投标时请提供售后服务承诺书：明确保修期、故障响应时间、培训时间、售后服务技术人员名单和联系方式等。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7" w:hRule="atLeast"/>
          <w:jc w:val="center"/>
        </w:trPr>
        <w:tc>
          <w:tcPr>
            <w:tcW w:w="2030" w:type="dxa"/>
            <w:gridSpan w:val="2"/>
            <w:vAlign w:val="center"/>
          </w:tcPr>
          <w:p>
            <w:pPr>
              <w:jc w:val="center"/>
              <w:rPr>
                <w:rFonts w:ascii="宋体" w:hAnsi="宋体" w:cs="宋体"/>
                <w:sz w:val="24"/>
                <w:highlight w:val="none"/>
              </w:rPr>
            </w:pPr>
            <w:r>
              <w:rPr>
                <w:rFonts w:hint="eastAsia" w:ascii="宋体" w:hAnsi="宋体" w:eastAsia="宋体" w:cs="宋体"/>
                <w:sz w:val="24"/>
                <w:szCs w:val="24"/>
                <w:highlight w:val="none"/>
              </w:rPr>
              <w:t>履约验收要求</w:t>
            </w:r>
          </w:p>
        </w:tc>
        <w:tc>
          <w:tcPr>
            <w:tcW w:w="6915" w:type="dxa"/>
            <w:gridSpan w:val="5"/>
            <w:vAlign w:val="center"/>
          </w:tcPr>
          <w:p>
            <w:pPr>
              <w:spacing w:line="300" w:lineRule="exact"/>
              <w:rPr>
                <w:rFonts w:ascii="宋体" w:hAnsi="宋体" w:cs="宋体"/>
                <w:sz w:val="24"/>
                <w:highlight w:val="none"/>
              </w:rPr>
            </w:pPr>
            <w:r>
              <w:rPr>
                <w:rFonts w:hint="eastAsia" w:ascii="宋体" w:hAnsi="宋体" w:eastAsia="宋体" w:cs="宋体"/>
                <w:sz w:val="24"/>
                <w:szCs w:val="24"/>
                <w:highlight w:val="none"/>
              </w:rPr>
              <w:t>1、到货验收：货物运抵采购人指定地点后，采购人应依据本合同的技术规格要求和国家有关质量标准及时进行验收。如发生所供货物与合同约定不符，采购人有权退货或要求供应商进行更换、补齐，因此造成逾期交货的，供应商承担逾期交货的违约责任。供应商应在接到采购人要求后2日内予以补救，所产生的费用及法律后果由供应商承担。</w:t>
            </w:r>
          </w:p>
          <w:p>
            <w:pPr>
              <w:spacing w:line="300" w:lineRule="exact"/>
              <w:rPr>
                <w:rFonts w:ascii="宋体" w:hAnsi="宋体" w:cs="宋体"/>
                <w:sz w:val="24"/>
                <w:highlight w:val="none"/>
              </w:rPr>
            </w:pPr>
            <w:r>
              <w:rPr>
                <w:rFonts w:hint="eastAsia" w:ascii="宋体" w:hAnsi="宋体" w:eastAsia="宋体" w:cs="宋体"/>
                <w:sz w:val="24"/>
                <w:szCs w:val="24"/>
                <w:highlight w:val="none"/>
              </w:rPr>
              <w:t>2、最终验收：货物经安装调试完成且符合技术要求后，采购人进行最终验收。验收时供应商必须在现场。货物符合合同约 定的技术规范要求和验收标准的，采购人签署验收合格证明。如货物不符合合同约定的要求的，供应商应当在2日内采取措施消除缺陷后重新申请终验，并承担由此产生的费用。</w:t>
            </w:r>
          </w:p>
          <w:p>
            <w:pPr>
              <w:spacing w:line="300" w:lineRule="exact"/>
              <w:rPr>
                <w:rFonts w:ascii="宋体" w:hAnsi="宋体" w:cs="宋体"/>
                <w:sz w:val="24"/>
                <w:highlight w:val="none"/>
              </w:rPr>
            </w:pPr>
            <w:r>
              <w:rPr>
                <w:rFonts w:hint="eastAsia" w:ascii="宋体" w:hAnsi="宋体" w:eastAsia="宋体" w:cs="宋体"/>
                <w:sz w:val="24"/>
                <w:szCs w:val="24"/>
                <w:highlight w:val="none"/>
              </w:rPr>
              <w:t>3、投标报价须为人民币报价，报价必须包含所有货物（含货物的附件、承诺的备件）的价格、税费、运输装卸费、安装调试费、培训费、产品检测费、产品质保期内维护维修及技术支持费用等。</w:t>
            </w:r>
          </w:p>
        </w:tc>
      </w:tr>
    </w:tbl>
    <w:p>
      <w:pPr>
        <w:pStyle w:val="15"/>
        <w:rPr>
          <w:highlight w:val="none"/>
        </w:rPr>
        <w:sectPr>
          <w:pgSz w:w="11906" w:h="16838"/>
          <w:pgMar w:top="1440" w:right="1080" w:bottom="1440" w:left="1080" w:header="851" w:footer="992" w:gutter="0"/>
          <w:pgNumType w:fmt="decimal"/>
          <w:cols w:space="425" w:num="1"/>
          <w:docGrid w:type="lines" w:linePitch="312" w:charSpace="0"/>
        </w:sectPr>
      </w:pPr>
    </w:p>
    <w:p>
      <w:pPr>
        <w:pStyle w:val="3"/>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一、评标方法：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1、本项目采用最低评标价法。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2、响应文件满足采购文件全部实质性要求，且总报价最低</w:t>
      </w:r>
      <w:r>
        <w:rPr>
          <w:rFonts w:hint="eastAsia" w:ascii="宋体" w:hAnsi="宋体" w:cs="Courier New"/>
          <w:bCs/>
          <w:color w:val="auto"/>
          <w:sz w:val="24"/>
          <w:szCs w:val="24"/>
          <w:lang w:eastAsia="zh-CN"/>
        </w:rPr>
        <w:t>（折扣率最高）</w:t>
      </w:r>
      <w:r>
        <w:rPr>
          <w:rFonts w:hint="eastAsia" w:ascii="宋体" w:hAnsi="宋体" w:cs="Courier New"/>
          <w:bCs/>
          <w:color w:val="auto"/>
          <w:sz w:val="24"/>
          <w:szCs w:val="24"/>
        </w:rPr>
        <w:t>的供应商为成交候选人。</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二、成交人推荐原则：</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三、说明</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1、供应商应在响应文件中附上以上涉及的有关证书、文件、合同等的复印件。因供应商资料不全或不清楚影响到最终得分的责任由供应商自负。</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2、对于存在严重不平衡、不合理、有可能低于供应商自身成本的报价价，询价小组有权予以拒绝。</w:t>
      </w:r>
    </w:p>
    <w:p>
      <w:pPr>
        <w:spacing w:beforeLines="50" w:afterLines="50" w:line="360" w:lineRule="auto"/>
        <w:ind w:firstLine="480" w:firstLineChars="200"/>
        <w:rPr>
          <w:rFonts w:ascii="宋体" w:hAnsi="宋体"/>
          <w:b/>
          <w:color w:val="auto"/>
          <w:sz w:val="24"/>
          <w:szCs w:val="24"/>
          <w:highlight w:val="yellow"/>
        </w:rPr>
      </w:pPr>
      <w:r>
        <w:rPr>
          <w:rFonts w:hint="eastAsia" w:ascii="宋体" w:hAnsi="宋体" w:cs="Courier New"/>
          <w:bCs/>
          <w:color w:val="auto"/>
          <w:sz w:val="24"/>
          <w:szCs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32"/>
          <w:szCs w:val="32"/>
        </w:rPr>
      </w:pPr>
    </w:p>
    <w:p>
      <w:pPr>
        <w:pStyle w:val="3"/>
        <w:spacing w:line="360" w:lineRule="exact"/>
        <w:ind w:right="960"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响应文件</w:t>
      </w:r>
      <w:r>
        <w:rPr>
          <w:rFonts w:hint="eastAsia" w:ascii="宋体" w:hAnsi="宋体" w:eastAsia="宋体" w:cs="宋体"/>
          <w:b/>
          <w:color w:val="auto"/>
          <w:sz w:val="32"/>
          <w:szCs w:val="32"/>
        </w:rPr>
        <w:t>资料清单</w:t>
      </w:r>
    </w:p>
    <w:p>
      <w:pPr>
        <w:spacing w:line="360" w:lineRule="auto"/>
        <w:rPr>
          <w:rFonts w:hint="eastAsia" w:ascii="宋体" w:hAnsi="宋体" w:eastAsia="宋体" w:cs="宋体"/>
          <w:b w:val="0"/>
          <w:bCs/>
          <w:color w:val="auto"/>
          <w:sz w:val="24"/>
          <w:szCs w:val="24"/>
          <w:lang w:eastAsia="zh-CN"/>
        </w:rPr>
      </w:pPr>
      <w:r>
        <w:rPr>
          <w:rFonts w:hint="eastAsia" w:ascii="宋体" w:hAnsi="宋体" w:eastAsia="宋体" w:cs="宋体"/>
          <w:b/>
          <w:bCs w:val="0"/>
          <w:color w:val="auto"/>
          <w:sz w:val="24"/>
          <w:szCs w:val="24"/>
          <w:lang w:eastAsia="zh-CN"/>
        </w:rPr>
        <w:t>（</w:t>
      </w:r>
      <w:r>
        <w:rPr>
          <w:rFonts w:hint="eastAsia" w:ascii="宋体" w:hAnsi="宋体" w:cs="宋体"/>
          <w:b/>
          <w:bCs w:val="0"/>
          <w:color w:val="auto"/>
          <w:sz w:val="24"/>
        </w:rPr>
        <w:t>以下文件要求必须提供的文件如未提供，</w:t>
      </w:r>
      <w:r>
        <w:rPr>
          <w:rFonts w:hint="eastAsia" w:ascii="宋体" w:hAnsi="宋体" w:eastAsia="宋体" w:cs="宋体"/>
          <w:b/>
          <w:bCs w:val="0"/>
          <w:color w:val="auto"/>
          <w:sz w:val="24"/>
          <w:szCs w:val="24"/>
          <w:lang w:val="en-US" w:eastAsia="zh-CN"/>
        </w:rPr>
        <w:t>评审</w:t>
      </w:r>
      <w:r>
        <w:rPr>
          <w:rFonts w:hint="eastAsia" w:ascii="宋体" w:hAnsi="宋体" w:cs="宋体"/>
          <w:b/>
          <w:bCs w:val="0"/>
          <w:color w:val="auto"/>
          <w:sz w:val="24"/>
        </w:rPr>
        <w:t>小组有权拒绝其</w:t>
      </w:r>
      <w:r>
        <w:rPr>
          <w:rFonts w:hint="eastAsia" w:ascii="宋体" w:hAnsi="宋体" w:eastAsia="宋体" w:cs="宋体"/>
          <w:b/>
          <w:bCs w:val="0"/>
          <w:color w:val="auto"/>
          <w:sz w:val="24"/>
          <w:szCs w:val="24"/>
          <w:lang w:val="en-US" w:eastAsia="zh-CN"/>
        </w:rPr>
        <w:t>报价</w:t>
      </w:r>
      <w:r>
        <w:rPr>
          <w:rFonts w:hint="eastAsia" w:ascii="宋体" w:hAnsi="宋体" w:cs="宋体"/>
          <w:b/>
          <w:bCs w:val="0"/>
          <w:color w:val="auto"/>
          <w:sz w:val="24"/>
        </w:rPr>
        <w:t>响应文件；以下文件均须每页加盖</w:t>
      </w:r>
      <w:r>
        <w:rPr>
          <w:rFonts w:hint="eastAsia" w:ascii="宋体" w:hAnsi="宋体" w:eastAsia="宋体" w:cs="宋体"/>
          <w:b/>
          <w:bCs w:val="0"/>
          <w:color w:val="auto"/>
          <w:sz w:val="24"/>
          <w:szCs w:val="24"/>
          <w:lang w:val="en-US" w:eastAsia="zh-CN"/>
        </w:rPr>
        <w:t>供应商</w:t>
      </w:r>
      <w:r>
        <w:rPr>
          <w:rFonts w:hint="eastAsia" w:ascii="宋体" w:hAnsi="宋体" w:cs="宋体"/>
          <w:b/>
          <w:bCs w:val="0"/>
          <w:color w:val="auto"/>
          <w:sz w:val="24"/>
        </w:rPr>
        <w:t>公章，如未盖章，</w:t>
      </w:r>
      <w:r>
        <w:rPr>
          <w:rFonts w:hint="eastAsia" w:ascii="宋体" w:hAnsi="宋体" w:eastAsia="宋体" w:cs="宋体"/>
          <w:b/>
          <w:bCs w:val="0"/>
          <w:color w:val="auto"/>
          <w:sz w:val="24"/>
          <w:szCs w:val="24"/>
          <w:lang w:val="en-US" w:eastAsia="zh-CN"/>
        </w:rPr>
        <w:t>评审</w:t>
      </w:r>
      <w:r>
        <w:rPr>
          <w:rFonts w:hint="eastAsia" w:ascii="宋体" w:hAnsi="宋体" w:cs="宋体"/>
          <w:b/>
          <w:bCs w:val="0"/>
          <w:color w:val="auto"/>
          <w:sz w:val="24"/>
        </w:rPr>
        <w:t>小组有权拒绝其响应文件。</w:t>
      </w:r>
      <w:r>
        <w:rPr>
          <w:rFonts w:hint="eastAsia" w:ascii="宋体" w:hAnsi="宋体" w:eastAsia="宋体" w:cs="宋体"/>
          <w:b/>
          <w:bCs w:val="0"/>
          <w:color w:val="auto"/>
          <w:sz w:val="24"/>
          <w:szCs w:val="24"/>
          <w:lang w:eastAsia="zh-CN"/>
        </w:rPr>
        <w:t>）</w:t>
      </w:r>
    </w:p>
    <w:p>
      <w:pPr>
        <w:spacing w:line="360" w:lineRule="auto"/>
        <w:rPr>
          <w:rFonts w:hint="eastAsia" w:ascii="宋体" w:hAnsi="宋体" w:cs="宋体"/>
          <w:color w:val="auto"/>
          <w:sz w:val="24"/>
        </w:rPr>
      </w:pPr>
    </w:p>
    <w:p>
      <w:pPr>
        <w:spacing w:line="360" w:lineRule="auto"/>
        <w:rPr>
          <w:rFonts w:hint="eastAsia" w:ascii="宋体" w:hAnsi="宋体" w:cs="宋体"/>
          <w:color w:val="auto"/>
          <w:sz w:val="24"/>
        </w:rPr>
      </w:pPr>
      <w:r>
        <w:rPr>
          <w:rFonts w:hint="eastAsia" w:ascii="宋体" w:hAnsi="宋体" w:cs="宋体"/>
          <w:color w:val="auto"/>
          <w:sz w:val="24"/>
        </w:rPr>
        <w:t>第一部分：价格文件</w:t>
      </w:r>
    </w:p>
    <w:p>
      <w:pPr>
        <w:spacing w:line="360" w:lineRule="auto"/>
        <w:rPr>
          <w:rFonts w:hint="eastAsia" w:ascii="宋体" w:hAnsi="宋体" w:cs="宋体"/>
          <w:b/>
          <w:bCs/>
          <w:color w:val="auto"/>
          <w:sz w:val="24"/>
        </w:rPr>
      </w:pPr>
      <w:r>
        <w:rPr>
          <w:rFonts w:hint="eastAsia" w:ascii="宋体" w:hAnsi="宋体" w:eastAsia="宋体" w:cs="宋体"/>
          <w:b/>
          <w:bCs/>
          <w:color w:val="auto"/>
          <w:sz w:val="24"/>
          <w:lang w:eastAsia="zh-CN"/>
        </w:rPr>
        <w:t>1</w:t>
      </w:r>
      <w:r>
        <w:rPr>
          <w:rFonts w:hint="eastAsia" w:ascii="宋体" w:hAnsi="宋体" w:eastAsia="宋体" w:cs="宋体"/>
          <w:b/>
          <w:bCs/>
          <w:color w:val="auto"/>
          <w:sz w:val="24"/>
          <w:lang w:val="en-US" w:eastAsia="zh-CN"/>
        </w:rPr>
        <w:t>.</w:t>
      </w:r>
      <w:r>
        <w:rPr>
          <w:rFonts w:hint="eastAsia" w:ascii="宋体" w:hAnsi="宋体" w:cs="宋体"/>
          <w:b/>
          <w:bCs/>
          <w:color w:val="auto"/>
          <w:sz w:val="24"/>
        </w:rPr>
        <w:t>报价表；（附件一）[必须提供]</w:t>
      </w:r>
    </w:p>
    <w:p>
      <w:pPr>
        <w:spacing w:line="360" w:lineRule="auto"/>
        <w:rPr>
          <w:rFonts w:hint="eastAsia" w:ascii="宋体" w:hAnsi="宋体" w:eastAsia="宋体" w:cs="宋体"/>
          <w:color w:val="auto"/>
          <w:sz w:val="24"/>
          <w:szCs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商务、服务响应、偏离情况说明表；（附件</w:t>
      </w: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法定代表人身份证正、反面复印件；（附件</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法定代表人授权委托书原件和委托代理人身份证正、反面复印件；（附件</w:t>
      </w:r>
      <w:r>
        <w:rPr>
          <w:rFonts w:hint="eastAsia" w:ascii="宋体" w:hAnsi="宋体" w:eastAsia="宋体" w:cs="宋体"/>
          <w:b/>
          <w:bCs/>
          <w:color w:val="auto"/>
          <w:sz w:val="24"/>
          <w:szCs w:val="24"/>
          <w:lang w:eastAsia="zh-CN"/>
        </w:rPr>
        <w:t>四</w:t>
      </w:r>
      <w:r>
        <w:rPr>
          <w:rFonts w:hint="eastAsia" w:ascii="宋体" w:hAnsi="宋体" w:eastAsia="宋体" w:cs="宋体"/>
          <w:b/>
          <w:bCs/>
          <w:color w:val="auto"/>
          <w:sz w:val="24"/>
          <w:szCs w:val="24"/>
        </w:rPr>
        <w:t xml:space="preserve">） [委托代理时必须提供]； </w:t>
      </w:r>
    </w:p>
    <w:p>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有效的主体资格证明文件复印件（附件</w:t>
      </w: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spacing w:line="360" w:lineRule="auto"/>
        <w:rPr>
          <w:rFonts w:hint="eastAsia" w:ascii="宋体" w:hAnsi="宋体" w:eastAsia="宋体" w:cs="宋体"/>
          <w:b/>
          <w:bCs/>
          <w:color w:val="auto"/>
          <w:sz w:val="24"/>
          <w:szCs w:val="24"/>
        </w:rPr>
      </w:pPr>
      <w:r>
        <w:rPr>
          <w:rFonts w:hint="eastAsia" w:ascii="宋体" w:hAnsi="宋体" w:eastAsia="宋体" w:cs="宋体"/>
          <w:color w:val="auto"/>
          <w:sz w:val="24"/>
          <w:szCs w:val="24"/>
        </w:rPr>
        <w:t>②本项目的特定资格要求</w:t>
      </w:r>
      <w:r>
        <w:rPr>
          <w:rFonts w:hint="eastAsia" w:ascii="宋体" w:hAnsi="宋体" w:cs="宋体"/>
          <w:color w:val="auto"/>
          <w:sz w:val="24"/>
          <w:szCs w:val="24"/>
          <w:lang w:val="en-US" w:eastAsia="zh-CN"/>
        </w:rPr>
        <w:t>:</w:t>
      </w:r>
      <w:r>
        <w:rPr>
          <w:rFonts w:hint="eastAsia" w:ascii="宋体" w:hAnsi="宋体" w:eastAsia="宋体" w:cs="宋体"/>
          <w:b/>
          <w:bCs/>
          <w:color w:val="auto"/>
          <w:sz w:val="24"/>
          <w:szCs w:val="24"/>
        </w:rPr>
        <w:t>[</w:t>
      </w:r>
      <w:r>
        <w:rPr>
          <w:rFonts w:hint="eastAsia" w:ascii="宋体" w:hAnsi="宋体" w:cs="宋体"/>
          <w:b/>
          <w:bCs/>
          <w:color w:val="auto"/>
          <w:sz w:val="24"/>
          <w:szCs w:val="24"/>
          <w:lang w:eastAsia="zh-CN"/>
        </w:rPr>
        <w:t>如有要求，</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供应商信用证明材料：（附件</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①参加采购活动前三年内在经营活动中没有重大违法记录和不良信用记录的书面声明；[格式自拟，必须提供]</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②在“信用中国”网站(www.creditchina.gov.cn)未被列入失信被执行人、重大税收违法失信主体、企业经营异常名录的查询记录截图复印件加盖公章；[必须提供]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③在中国政府采购网（http://www.ccgp.gov.cn/）未纳入政府采购严重违法失信行为记录名单查询记录截图复印件加盖公章；[必须提供]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7</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其他</w:t>
      </w:r>
      <w:r>
        <w:rPr>
          <w:rFonts w:hint="eastAsia" w:ascii="宋体" w:hAnsi="宋体" w:eastAsia="宋体" w:cs="宋体"/>
          <w:b/>
          <w:bCs/>
          <w:color w:val="auto"/>
          <w:sz w:val="24"/>
          <w:szCs w:val="24"/>
          <w:lang w:val="en-US" w:eastAsia="zh-CN"/>
        </w:rPr>
        <w:t>报价供应商</w:t>
      </w:r>
      <w:r>
        <w:rPr>
          <w:rFonts w:hint="eastAsia" w:ascii="宋体" w:hAnsi="宋体" w:eastAsia="宋体" w:cs="宋体"/>
          <w:b/>
          <w:bCs/>
          <w:color w:val="auto"/>
          <w:sz w:val="24"/>
          <w:szCs w:val="24"/>
        </w:rPr>
        <w:t>认为需要提供的材料</w:t>
      </w:r>
    </w:p>
    <w:p>
      <w:pPr>
        <w:spacing w:line="360" w:lineRule="auto"/>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lang w:eastAsia="zh-CN"/>
        </w:rPr>
        <w:t>注：（未提供格式模板的资料由供应商自拟）</w:t>
      </w: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hint="default"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t>附件一</w:t>
      </w:r>
    </w:p>
    <w:p>
      <w:pPr>
        <w:spacing w:line="360" w:lineRule="exact"/>
        <w:ind w:right="960"/>
        <w:jc w:val="center"/>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900" w:lineRule="exact"/>
        <w:ind w:firstLine="360" w:firstLineChars="100"/>
        <w:jc w:val="center"/>
        <w:rPr>
          <w:rFonts w:hint="eastAsia" w:ascii="仿宋" w:hAnsi="仿宋" w:eastAsia="仿宋" w:cs="仿宋"/>
          <w:color w:val="auto"/>
          <w:kern w:val="0"/>
          <w:sz w:val="36"/>
          <w:szCs w:val="36"/>
          <w:u w:val="single"/>
        </w:rPr>
      </w:pPr>
      <w:r>
        <w:rPr>
          <w:rFonts w:hint="eastAsia" w:ascii="仿宋" w:hAnsi="仿宋" w:eastAsia="仿宋" w:cs="仿宋"/>
          <w:color w:val="auto"/>
          <w:kern w:val="0"/>
          <w:sz w:val="36"/>
          <w:szCs w:val="36"/>
          <w:u w:val="single"/>
        </w:rPr>
        <w:t>广西工商职业技术学院武鸣校区健康运动训练馆窗帘采购项目</w:t>
      </w:r>
    </w:p>
    <w:tbl>
      <w:tblPr>
        <w:tblStyle w:val="18"/>
        <w:tblpPr w:leftFromText="180" w:rightFromText="180" w:vertAnchor="text" w:horzAnchor="page" w:tblpX="1070" w:tblpY="296"/>
        <w:tblOverlap w:val="never"/>
        <w:tblW w:w="50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1620"/>
        <w:gridCol w:w="1740"/>
        <w:gridCol w:w="1680"/>
        <w:gridCol w:w="1760"/>
        <w:gridCol w:w="2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532"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800"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b/>
                <w:bCs/>
                <w:color w:val="000000"/>
                <w:kern w:val="0"/>
                <w:sz w:val="20"/>
                <w:szCs w:val="20"/>
                <w:lang w:eastAsia="zh-CN"/>
              </w:rPr>
              <w:t>货物</w:t>
            </w:r>
            <w:r>
              <w:rPr>
                <w:rFonts w:hint="eastAsia" w:ascii="宋体" w:hAnsi="宋体" w:cs="宋体"/>
                <w:b/>
                <w:bCs/>
                <w:color w:val="000000"/>
                <w:kern w:val="0"/>
                <w:sz w:val="20"/>
                <w:szCs w:val="20"/>
              </w:rPr>
              <w:t>名称</w:t>
            </w:r>
          </w:p>
        </w:tc>
        <w:tc>
          <w:tcPr>
            <w:tcW w:w="860" w:type="pct"/>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单位</w:t>
            </w:r>
          </w:p>
        </w:tc>
        <w:tc>
          <w:tcPr>
            <w:tcW w:w="830"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数量</w:t>
            </w:r>
          </w:p>
        </w:tc>
        <w:tc>
          <w:tcPr>
            <w:tcW w:w="869" w:type="pct"/>
            <w:noWrap w:val="0"/>
            <w:vAlign w:val="center"/>
          </w:tcPr>
          <w:p>
            <w:pPr>
              <w:jc w:val="center"/>
              <w:rPr>
                <w:rFonts w:hint="eastAsia" w:ascii="宋体" w:hAnsi="宋体" w:eastAsia="宋体" w:cs="宋体"/>
                <w:sz w:val="24"/>
                <w:szCs w:val="24"/>
                <w:lang w:eastAsia="zh-CN"/>
              </w:rPr>
            </w:pPr>
            <w:r>
              <w:rPr>
                <w:rFonts w:hint="eastAsia" w:ascii="宋体" w:hAnsi="宋体" w:cs="宋体"/>
                <w:sz w:val="24"/>
                <w:szCs w:val="24"/>
                <w:lang w:val="en-US" w:eastAsia="zh-CN"/>
              </w:rPr>
              <w:t>单价（元）</w:t>
            </w:r>
          </w:p>
        </w:tc>
        <w:tc>
          <w:tcPr>
            <w:tcW w:w="1106"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金额小计（元）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32"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800" w:type="pct"/>
            <w:noWrap w:val="0"/>
            <w:vAlign w:val="center"/>
          </w:tcPr>
          <w:p>
            <w:pPr>
              <w:jc w:val="center"/>
              <w:rPr>
                <w:rFonts w:hint="eastAsia" w:ascii="宋体" w:hAnsi="宋体" w:eastAsia="宋体" w:cs="宋体"/>
                <w:kern w:val="2"/>
                <w:sz w:val="24"/>
                <w:szCs w:val="24"/>
                <w:lang w:val="en-US" w:eastAsia="zh-CN" w:bidi="ar-SA"/>
              </w:rPr>
            </w:pPr>
            <w:r>
              <w:rPr>
                <w:rFonts w:hint="eastAsia"/>
                <w:color w:val="000000"/>
                <w:sz w:val="20"/>
                <w:szCs w:val="20"/>
              </w:rPr>
              <w:t>铝合金罗马杆</w:t>
            </w:r>
          </w:p>
        </w:tc>
        <w:tc>
          <w:tcPr>
            <w:tcW w:w="860" w:type="pct"/>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组</w:t>
            </w:r>
          </w:p>
        </w:tc>
        <w:tc>
          <w:tcPr>
            <w:tcW w:w="830"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40</w:t>
            </w:r>
          </w:p>
        </w:tc>
        <w:tc>
          <w:tcPr>
            <w:tcW w:w="869" w:type="pct"/>
            <w:noWrap w:val="0"/>
            <w:vAlign w:val="center"/>
          </w:tcPr>
          <w:p>
            <w:pPr>
              <w:jc w:val="center"/>
              <w:rPr>
                <w:rFonts w:hint="eastAsia" w:ascii="宋体" w:hAnsi="宋体" w:eastAsia="宋体" w:cs="宋体"/>
                <w:sz w:val="24"/>
                <w:szCs w:val="24"/>
              </w:rPr>
            </w:pPr>
          </w:p>
        </w:tc>
        <w:tc>
          <w:tcPr>
            <w:tcW w:w="1106"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532" w:type="pct"/>
            <w:noWrap w:val="0"/>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800" w:type="pct"/>
            <w:noWrap w:val="0"/>
            <w:vAlign w:val="center"/>
          </w:tcPr>
          <w:p>
            <w:pPr>
              <w:jc w:val="center"/>
              <w:rPr>
                <w:rFonts w:hint="default" w:ascii="宋体" w:hAnsi="宋体" w:eastAsia="宋体" w:cs="宋体"/>
                <w:kern w:val="2"/>
                <w:sz w:val="24"/>
                <w:szCs w:val="24"/>
                <w:lang w:val="en-US" w:eastAsia="zh-CN" w:bidi="ar-SA"/>
              </w:rPr>
            </w:pPr>
            <w:r>
              <w:rPr>
                <w:rFonts w:hint="eastAsia"/>
                <w:color w:val="000000"/>
                <w:sz w:val="20"/>
                <w:szCs w:val="20"/>
              </w:rPr>
              <w:t>窗帘布</w:t>
            </w:r>
          </w:p>
        </w:tc>
        <w:tc>
          <w:tcPr>
            <w:tcW w:w="860"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组</w:t>
            </w:r>
          </w:p>
        </w:tc>
        <w:tc>
          <w:tcPr>
            <w:tcW w:w="830"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40</w:t>
            </w:r>
          </w:p>
        </w:tc>
        <w:tc>
          <w:tcPr>
            <w:tcW w:w="869" w:type="pct"/>
            <w:noWrap w:val="0"/>
            <w:vAlign w:val="center"/>
          </w:tcPr>
          <w:p>
            <w:pPr>
              <w:jc w:val="center"/>
              <w:rPr>
                <w:rFonts w:hint="eastAsia" w:ascii="宋体" w:hAnsi="宋体" w:eastAsia="宋体" w:cs="宋体"/>
                <w:sz w:val="24"/>
                <w:szCs w:val="24"/>
              </w:rPr>
            </w:pPr>
          </w:p>
        </w:tc>
        <w:tc>
          <w:tcPr>
            <w:tcW w:w="1106"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532" w:type="pct"/>
            <w:noWrap w:val="0"/>
            <w:vAlign w:val="center"/>
          </w:tcPr>
          <w:p>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800" w:type="pct"/>
            <w:noWrap w:val="0"/>
            <w:vAlign w:val="center"/>
          </w:tcPr>
          <w:p>
            <w:pPr>
              <w:jc w:val="center"/>
              <w:rPr>
                <w:rFonts w:hint="eastAsia" w:ascii="宋体" w:hAnsi="宋体" w:eastAsia="宋体" w:cs="宋体"/>
                <w:kern w:val="2"/>
                <w:sz w:val="24"/>
                <w:szCs w:val="24"/>
                <w:lang w:val="en-US" w:eastAsia="zh-CN" w:bidi="ar-SA"/>
              </w:rPr>
            </w:pPr>
            <w:r>
              <w:rPr>
                <w:rFonts w:hint="eastAsia"/>
                <w:color w:val="000000"/>
                <w:sz w:val="20"/>
                <w:szCs w:val="20"/>
              </w:rPr>
              <w:t>窗帘纱</w:t>
            </w:r>
          </w:p>
        </w:tc>
        <w:tc>
          <w:tcPr>
            <w:tcW w:w="860"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组</w:t>
            </w:r>
          </w:p>
        </w:tc>
        <w:tc>
          <w:tcPr>
            <w:tcW w:w="830" w:type="pct"/>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40</w:t>
            </w:r>
          </w:p>
        </w:tc>
        <w:tc>
          <w:tcPr>
            <w:tcW w:w="869" w:type="pct"/>
            <w:noWrap w:val="0"/>
            <w:vAlign w:val="center"/>
          </w:tcPr>
          <w:p>
            <w:pPr>
              <w:jc w:val="center"/>
              <w:rPr>
                <w:rFonts w:hint="eastAsia" w:ascii="宋体" w:hAnsi="宋体" w:eastAsia="宋体" w:cs="宋体"/>
                <w:sz w:val="24"/>
                <w:szCs w:val="24"/>
              </w:rPr>
            </w:pPr>
          </w:p>
        </w:tc>
        <w:tc>
          <w:tcPr>
            <w:tcW w:w="1106"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532" w:type="pct"/>
            <w:noWrap w:val="0"/>
            <w:vAlign w:val="center"/>
          </w:tcPr>
          <w:p>
            <w:pPr>
              <w:jc w:val="center"/>
              <w:rPr>
                <w:rFonts w:hint="default" w:ascii="宋体" w:hAnsi="宋体" w:cs="宋体"/>
                <w:sz w:val="24"/>
                <w:szCs w:val="24"/>
                <w:lang w:val="en-US" w:eastAsia="zh-CN"/>
              </w:rPr>
            </w:pPr>
            <w:r>
              <w:rPr>
                <w:rFonts w:hint="eastAsia" w:ascii="宋体" w:hAnsi="宋体" w:cs="宋体"/>
                <w:sz w:val="24"/>
                <w:szCs w:val="24"/>
                <w:lang w:val="en-US" w:eastAsia="zh-CN"/>
              </w:rPr>
              <w:t>4</w:t>
            </w:r>
          </w:p>
        </w:tc>
        <w:tc>
          <w:tcPr>
            <w:tcW w:w="800" w:type="pct"/>
            <w:noWrap w:val="0"/>
            <w:vAlign w:val="center"/>
          </w:tcPr>
          <w:p>
            <w:pPr>
              <w:jc w:val="center"/>
              <w:rPr>
                <w:rFonts w:hint="eastAsia" w:ascii="宋体" w:hAnsi="宋体" w:eastAsia="宋体" w:cs="宋体"/>
                <w:kern w:val="2"/>
                <w:sz w:val="24"/>
                <w:szCs w:val="24"/>
                <w:lang w:val="en-US" w:eastAsia="zh-CN" w:bidi="ar-SA"/>
              </w:rPr>
            </w:pPr>
            <w:r>
              <w:rPr>
                <w:rFonts w:hint="eastAsia"/>
                <w:color w:val="000000"/>
                <w:sz w:val="22"/>
              </w:rPr>
              <w:t>窗帘辅料</w:t>
            </w:r>
          </w:p>
        </w:tc>
        <w:tc>
          <w:tcPr>
            <w:tcW w:w="860" w:type="pct"/>
            <w:noWrap w:val="0"/>
            <w:vAlign w:val="center"/>
          </w:tcPr>
          <w:p>
            <w:pPr>
              <w:jc w:val="center"/>
              <w:rPr>
                <w:rFonts w:hint="eastAsia" w:ascii="宋体" w:hAnsi="宋体" w:cs="宋体"/>
                <w:sz w:val="24"/>
                <w:szCs w:val="24"/>
                <w:lang w:val="en-US" w:eastAsia="zh-CN"/>
              </w:rPr>
            </w:pPr>
            <w:r>
              <w:rPr>
                <w:rFonts w:hint="eastAsia" w:ascii="宋体" w:hAnsi="宋体" w:cs="宋体"/>
                <w:sz w:val="24"/>
                <w:szCs w:val="24"/>
                <w:lang w:val="en-US" w:eastAsia="zh-CN"/>
              </w:rPr>
              <w:t>组</w:t>
            </w:r>
          </w:p>
        </w:tc>
        <w:tc>
          <w:tcPr>
            <w:tcW w:w="830" w:type="pct"/>
            <w:noWrap w:val="0"/>
            <w:vAlign w:val="center"/>
          </w:tcPr>
          <w:p>
            <w:pPr>
              <w:jc w:val="center"/>
              <w:rPr>
                <w:rFonts w:hint="default" w:ascii="宋体" w:hAnsi="宋体" w:cs="宋体"/>
                <w:sz w:val="24"/>
                <w:szCs w:val="24"/>
                <w:lang w:val="en-US" w:eastAsia="zh-CN"/>
              </w:rPr>
            </w:pPr>
            <w:r>
              <w:rPr>
                <w:rFonts w:hint="eastAsia" w:ascii="宋体" w:hAnsi="宋体" w:cs="宋体"/>
                <w:sz w:val="24"/>
                <w:szCs w:val="24"/>
                <w:lang w:val="en-US" w:eastAsia="zh-CN"/>
              </w:rPr>
              <w:t>40</w:t>
            </w:r>
          </w:p>
        </w:tc>
        <w:tc>
          <w:tcPr>
            <w:tcW w:w="869" w:type="pct"/>
            <w:noWrap w:val="0"/>
            <w:vAlign w:val="center"/>
          </w:tcPr>
          <w:p>
            <w:pPr>
              <w:jc w:val="center"/>
              <w:rPr>
                <w:rFonts w:hint="eastAsia" w:ascii="宋体" w:hAnsi="宋体" w:eastAsia="宋体" w:cs="宋体"/>
                <w:sz w:val="24"/>
                <w:szCs w:val="24"/>
              </w:rPr>
            </w:pPr>
          </w:p>
        </w:tc>
        <w:tc>
          <w:tcPr>
            <w:tcW w:w="1106" w:type="pct"/>
            <w:noWrap w:val="0"/>
            <w:vAlign w:val="center"/>
          </w:tcPr>
          <w:p>
            <w:pPr>
              <w:jc w:val="cente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5000" w:type="pct"/>
            <w:gridSpan w:val="6"/>
            <w:vAlign w:val="center"/>
          </w:tcPr>
          <w:p>
            <w:pPr>
              <w:jc w:val="left"/>
              <w:rPr>
                <w:rFonts w:hint="eastAsia" w:ascii="宋体" w:hAnsi="宋体" w:eastAsia="宋体" w:cs="宋体"/>
                <w:sz w:val="24"/>
                <w:szCs w:val="24"/>
                <w:lang w:eastAsia="zh-CN"/>
              </w:rPr>
            </w:pPr>
          </w:p>
          <w:p>
            <w:pPr>
              <w:jc w:val="left"/>
              <w:rPr>
                <w:rFonts w:hint="eastAsia" w:ascii="宋体" w:hAnsi="宋体" w:eastAsia="宋体" w:cs="宋体"/>
                <w:sz w:val="24"/>
                <w:szCs w:val="24"/>
                <w:lang w:val="en-US" w:eastAsia="zh-CN"/>
              </w:rPr>
            </w:pPr>
            <w:r>
              <w:rPr>
                <w:rFonts w:hint="eastAsia" w:ascii="宋体" w:hAnsi="宋体" w:eastAsia="宋体" w:cs="宋体"/>
                <w:sz w:val="24"/>
                <w:szCs w:val="24"/>
                <w:lang w:eastAsia="zh-CN"/>
              </w:rPr>
              <w:t>金额合计：人民币大写：</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w:t>
            </w:r>
          </w:p>
          <w:p>
            <w:pPr>
              <w:spacing w:line="260" w:lineRule="exact"/>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5000" w:type="pct"/>
            <w:gridSpan w:val="6"/>
            <w:vAlign w:val="center"/>
          </w:tcPr>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1.</w:t>
            </w:r>
            <w:r>
              <w:rPr>
                <w:rFonts w:hint="eastAsia" w:ascii="宋体" w:hAnsi="宋体" w:eastAsia="宋体" w:cs="宋体"/>
                <w:sz w:val="24"/>
                <w:szCs w:val="24"/>
              </w:rPr>
              <w:t>总报价不能超过最高限价和项目预算，否则</w:t>
            </w:r>
            <w:r>
              <w:rPr>
                <w:rFonts w:hint="eastAsia" w:ascii="宋体" w:hAnsi="宋体" w:eastAsia="宋体" w:cs="宋体"/>
                <w:sz w:val="24"/>
                <w:szCs w:val="24"/>
                <w:lang w:eastAsia="zh-CN"/>
              </w:rPr>
              <w:t>报价无效</w:t>
            </w:r>
            <w:r>
              <w:rPr>
                <w:rFonts w:hint="eastAsia" w:ascii="宋体" w:hAnsi="宋体" w:eastAsia="宋体" w:cs="宋体"/>
                <w:sz w:val="24"/>
                <w:szCs w:val="24"/>
              </w:rPr>
              <w:t>。报价含税、运输费、人工费等所有费用。</w:t>
            </w:r>
          </w:p>
          <w:p>
            <w:pPr>
              <w:numPr>
                <w:ilvl w:val="0"/>
                <w:numId w:val="1"/>
              </w:numPr>
              <w:jc w:val="left"/>
              <w:rPr>
                <w:rFonts w:hint="eastAsia" w:ascii="宋体" w:hAnsi="宋体" w:eastAsia="宋体" w:cs="宋体"/>
                <w:sz w:val="24"/>
                <w:szCs w:val="24"/>
              </w:rPr>
            </w:pPr>
            <w:r>
              <w:rPr>
                <w:rFonts w:hint="eastAsia" w:ascii="宋体" w:hAnsi="宋体" w:eastAsia="宋体" w:cs="宋体"/>
                <w:sz w:val="24"/>
                <w:szCs w:val="24"/>
              </w:rPr>
              <w:t>所有价格用人民币表示，单位为元，精确到小数点后两位数。</w:t>
            </w:r>
          </w:p>
          <w:p>
            <w:pPr>
              <w:numPr>
                <w:ilvl w:val="0"/>
                <w:numId w:val="1"/>
              </w:numPr>
              <w:jc w:val="left"/>
              <w:rPr>
                <w:rFonts w:hint="eastAsia" w:ascii="宋体" w:hAnsi="宋体" w:eastAsia="宋体" w:cs="宋体"/>
                <w:sz w:val="24"/>
                <w:szCs w:val="24"/>
              </w:rPr>
            </w:pPr>
            <w:r>
              <w:rPr>
                <w:rFonts w:hint="eastAsia" w:ascii="宋体" w:hAnsi="宋体" w:cs="宋体"/>
                <w:sz w:val="24"/>
                <w:szCs w:val="24"/>
                <w:lang w:eastAsia="zh-CN"/>
              </w:rPr>
              <w:t>仅大小写不一致的，以大写金额为准。其他报价计算有误的，采购人有权拒绝其报价响应文件。</w:t>
            </w:r>
          </w:p>
          <w:p>
            <w:pPr>
              <w:spacing w:line="260" w:lineRule="exact"/>
              <w:rPr>
                <w:rFonts w:hint="eastAsia" w:ascii="宋体" w:hAnsi="宋体" w:eastAsia="宋体" w:cs="宋体"/>
                <w:sz w:val="24"/>
                <w:szCs w:val="24"/>
                <w:lang w:eastAsia="zh-CN"/>
              </w:rPr>
            </w:pPr>
          </w:p>
        </w:tc>
      </w:tr>
    </w:tbl>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hint="default" w:ascii="宋体" w:hAnsi="宋体" w:eastAsia="宋体"/>
          <w:color w:val="auto"/>
          <w:kern w:val="0"/>
          <w:sz w:val="28"/>
          <w:szCs w:val="28"/>
          <w:lang w:val="en-US" w:eastAsia="zh-CN"/>
        </w:rPr>
      </w:pPr>
      <w:r>
        <w:rPr>
          <w:rFonts w:hint="eastAsia" w:ascii="宋体" w:hAnsi="宋体"/>
          <w:color w:val="auto"/>
          <w:kern w:val="0"/>
          <w:sz w:val="28"/>
          <w:szCs w:val="28"/>
          <w:lang w:val="en-US" w:eastAsia="zh-CN"/>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br w:type="page"/>
      </w:r>
    </w:p>
    <w:p>
      <w:pPr>
        <w:spacing w:line="300" w:lineRule="auto"/>
        <w:jc w:val="left"/>
        <w:rPr>
          <w:rFonts w:hint="eastAsia"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lang w:val="en-US" w:eastAsia="zh-CN"/>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8"/>
        <w:tblW w:w="4995"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5"/>
        <w:gridCol w:w="2072"/>
        <w:gridCol w:w="2078"/>
        <w:gridCol w:w="1328"/>
        <w:gridCol w:w="1953"/>
        <w:gridCol w:w="1025"/>
        <w:gridCol w:w="104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229" w:type="pct"/>
            <w:vAlign w:val="center"/>
          </w:tcPr>
          <w:p>
            <w:pPr>
              <w:jc w:val="center"/>
            </w:pPr>
            <w:r>
              <w:rPr>
                <w:rFonts w:hint="eastAsia"/>
              </w:rPr>
              <w:t>序号</w:t>
            </w:r>
          </w:p>
        </w:tc>
        <w:tc>
          <w:tcPr>
            <w:tcW w:w="1041" w:type="pct"/>
            <w:vAlign w:val="center"/>
          </w:tcPr>
          <w:p>
            <w:pPr>
              <w:jc w:val="center"/>
              <w:rPr>
                <w:rFonts w:hint="default" w:eastAsia="宋体"/>
                <w:lang w:val="en-US" w:eastAsia="zh-CN"/>
              </w:rPr>
            </w:pPr>
            <w:r>
              <w:rPr>
                <w:rFonts w:hint="eastAsia"/>
                <w:lang w:val="en-US" w:eastAsia="zh-CN"/>
              </w:rPr>
              <w:t>货物/服务名称</w:t>
            </w:r>
          </w:p>
        </w:tc>
        <w:tc>
          <w:tcPr>
            <w:tcW w:w="1044" w:type="pct"/>
            <w:vAlign w:val="center"/>
          </w:tcPr>
          <w:p>
            <w:pPr>
              <w:jc w:val="center"/>
              <w:rPr>
                <w:rFonts w:hint="eastAsia" w:eastAsia="宋体"/>
                <w:lang w:eastAsia="zh-CN"/>
              </w:rPr>
            </w:pPr>
            <w:r>
              <w:rPr>
                <w:rFonts w:hint="eastAsia"/>
                <w:lang w:eastAsia="zh-CN"/>
              </w:rPr>
              <w:t>询价通知书</w:t>
            </w:r>
            <w:r>
              <w:rPr>
                <w:rFonts w:hint="eastAsia"/>
              </w:rPr>
              <w:t>文件要求</w:t>
            </w:r>
            <w:r>
              <w:rPr>
                <w:rFonts w:hint="eastAsia"/>
                <w:lang w:eastAsia="zh-CN"/>
              </w:rPr>
              <w:t>内容</w:t>
            </w:r>
          </w:p>
        </w:tc>
        <w:tc>
          <w:tcPr>
            <w:tcW w:w="667" w:type="pct"/>
            <w:vAlign w:val="center"/>
          </w:tcPr>
          <w:p>
            <w:pPr>
              <w:jc w:val="center"/>
            </w:pPr>
            <w:r>
              <w:rPr>
                <w:rFonts w:hint="eastAsia"/>
                <w:lang w:val="en-US" w:eastAsia="zh-CN"/>
              </w:rPr>
              <w:t>供应商响应品牌及型号</w:t>
            </w:r>
          </w:p>
        </w:tc>
        <w:tc>
          <w:tcPr>
            <w:tcW w:w="981" w:type="pct"/>
            <w:vAlign w:val="center"/>
          </w:tcPr>
          <w:p>
            <w:pPr>
              <w:jc w:val="center"/>
              <w:rPr>
                <w:rFonts w:hint="eastAsia" w:eastAsia="宋体"/>
                <w:lang w:eastAsia="zh-CN"/>
              </w:rPr>
            </w:pPr>
            <w:r>
              <w:rPr>
                <w:rFonts w:hint="eastAsia"/>
                <w:lang w:eastAsia="zh-CN"/>
              </w:rPr>
              <w:t>供应商</w:t>
            </w:r>
            <w:r>
              <w:rPr>
                <w:rFonts w:hint="eastAsia"/>
              </w:rPr>
              <w:t>响应文件具体响应</w:t>
            </w:r>
            <w:r>
              <w:rPr>
                <w:rFonts w:hint="eastAsia"/>
                <w:lang w:eastAsia="zh-CN"/>
              </w:rPr>
              <w:t>内容</w:t>
            </w:r>
          </w:p>
        </w:tc>
        <w:tc>
          <w:tcPr>
            <w:tcW w:w="515" w:type="pct"/>
            <w:vAlign w:val="center"/>
          </w:tcPr>
          <w:p>
            <w:pPr>
              <w:jc w:val="center"/>
              <w:rPr>
                <w:rFonts w:hint="default" w:eastAsia="宋体"/>
                <w:lang w:val="en-US" w:eastAsia="zh-CN"/>
              </w:rPr>
            </w:pPr>
            <w:r>
              <w:rPr>
                <w:rFonts w:hint="eastAsia"/>
              </w:rPr>
              <w:t>响应/偏离</w:t>
            </w:r>
          </w:p>
        </w:tc>
        <w:tc>
          <w:tcPr>
            <w:tcW w:w="520" w:type="pct"/>
            <w:vAlign w:val="center"/>
          </w:tcPr>
          <w:p>
            <w:pPr>
              <w:jc w:val="center"/>
              <w:rPr>
                <w:rFonts w:hint="eastAsia" w:eastAsia="宋体"/>
                <w:lang w:val="en-US" w:eastAsia="zh-CN"/>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lang w:eastAsia="zh-CN"/>
              </w:rPr>
            </w:pPr>
            <w:r>
              <w:rPr>
                <w:rFonts w:hint="eastAsia"/>
                <w:lang w:eastAsia="zh-CN"/>
              </w:rPr>
              <w:t>技术</w:t>
            </w:r>
            <w:r>
              <w:rPr>
                <w:rFonts w:hint="eastAsia"/>
                <w:lang w:val="en-US" w:eastAsia="zh-CN"/>
              </w:rPr>
              <w:t>/</w:t>
            </w:r>
            <w:r>
              <w:rPr>
                <w:rFonts w:hint="eastAsia"/>
              </w:rPr>
              <w:t>服务部分（项目技术需求）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229" w:type="pct"/>
            <w:vAlign w:val="center"/>
          </w:tcPr>
          <w:p>
            <w:pPr>
              <w:jc w:val="center"/>
            </w:pPr>
            <w:r>
              <w:rPr>
                <w:rFonts w:hint="eastAsia"/>
              </w:rPr>
              <w:t>1</w:t>
            </w:r>
          </w:p>
        </w:tc>
        <w:tc>
          <w:tcPr>
            <w:tcW w:w="1041" w:type="pct"/>
            <w:vAlign w:val="center"/>
          </w:tcPr>
          <w:p>
            <w:pPr>
              <w:jc w:val="center"/>
              <w:rPr>
                <w:rFonts w:hint="eastAsia" w:ascii="宋体" w:hAnsi="宋体" w:eastAsia="宋体"/>
                <w:lang w:eastAsia="zh-CN"/>
              </w:rPr>
            </w:pPr>
            <w:r>
              <w:rPr>
                <w:rFonts w:hint="eastAsia" w:ascii="宋体" w:hAnsi="宋体"/>
                <w:lang w:eastAsia="zh-CN"/>
              </w:rPr>
              <w:t>（按询价通知书逐项填列）</w:t>
            </w:r>
          </w:p>
        </w:tc>
        <w:tc>
          <w:tcPr>
            <w:tcW w:w="1044" w:type="pct"/>
            <w:vAlign w:val="center"/>
          </w:tcPr>
          <w:p>
            <w:pPr>
              <w:jc w:val="center"/>
              <w:rPr>
                <w:rFonts w:hint="eastAsia" w:ascii="宋体" w:hAnsi="宋体" w:eastAsia="宋体"/>
                <w:lang w:eastAsia="zh-CN"/>
              </w:rPr>
            </w:pPr>
            <w:r>
              <w:rPr>
                <w:rFonts w:hint="eastAsia" w:ascii="宋体" w:hAnsi="宋体"/>
                <w:lang w:eastAsia="zh-CN"/>
              </w:rPr>
              <w:t>（按询价通知书逐项填列）</w:t>
            </w:r>
          </w:p>
        </w:tc>
        <w:tc>
          <w:tcPr>
            <w:tcW w:w="667" w:type="pct"/>
          </w:tcPr>
          <w:p/>
        </w:tc>
        <w:tc>
          <w:tcPr>
            <w:tcW w:w="981" w:type="pct"/>
            <w:vAlign w:val="center"/>
          </w:tcPr>
          <w:p>
            <w:pPr>
              <w:jc w:val="center"/>
            </w:pPr>
          </w:p>
        </w:tc>
        <w:tc>
          <w:tcPr>
            <w:tcW w:w="515" w:type="pct"/>
            <w:vAlign w:val="center"/>
          </w:tcPr>
          <w:p>
            <w:pPr>
              <w:jc w:val="center"/>
            </w:pPr>
          </w:p>
        </w:tc>
        <w:tc>
          <w:tcPr>
            <w:tcW w:w="520"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2</w:t>
            </w:r>
          </w:p>
        </w:tc>
        <w:tc>
          <w:tcPr>
            <w:tcW w:w="1041" w:type="pct"/>
            <w:vAlign w:val="center"/>
          </w:tcPr>
          <w:p>
            <w:pPr>
              <w:tabs>
                <w:tab w:val="left" w:pos="180"/>
                <w:tab w:val="left" w:pos="1620"/>
              </w:tabs>
              <w:spacing w:line="400" w:lineRule="exact"/>
              <w:jc w:val="center"/>
              <w:rPr>
                <w:rFonts w:ascii="宋体" w:hAnsi="宋体"/>
                <w:szCs w:val="21"/>
              </w:rPr>
            </w:pPr>
          </w:p>
        </w:tc>
        <w:tc>
          <w:tcPr>
            <w:tcW w:w="1044" w:type="pct"/>
            <w:vAlign w:val="center"/>
          </w:tcPr>
          <w:p>
            <w:pPr>
              <w:tabs>
                <w:tab w:val="left" w:pos="180"/>
                <w:tab w:val="left" w:pos="1620"/>
              </w:tabs>
              <w:spacing w:line="400" w:lineRule="exact"/>
              <w:jc w:val="center"/>
              <w:rPr>
                <w:rFonts w:ascii="宋体" w:hAnsi="宋体"/>
                <w:szCs w:val="21"/>
              </w:rPr>
            </w:pPr>
          </w:p>
        </w:tc>
        <w:tc>
          <w:tcPr>
            <w:tcW w:w="667" w:type="pct"/>
          </w:tcPr>
          <w:p/>
        </w:tc>
        <w:tc>
          <w:tcPr>
            <w:tcW w:w="981" w:type="pct"/>
            <w:vAlign w:val="center"/>
          </w:tcPr>
          <w:p>
            <w:pPr>
              <w:jc w:val="center"/>
            </w:pPr>
          </w:p>
        </w:tc>
        <w:tc>
          <w:tcPr>
            <w:tcW w:w="515" w:type="pct"/>
            <w:vAlign w:val="center"/>
          </w:tcPr>
          <w:p>
            <w:pPr>
              <w:jc w:val="center"/>
            </w:pPr>
          </w:p>
        </w:tc>
        <w:tc>
          <w:tcPr>
            <w:tcW w:w="520"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3</w:t>
            </w:r>
          </w:p>
        </w:tc>
        <w:tc>
          <w:tcPr>
            <w:tcW w:w="1041" w:type="pct"/>
            <w:vAlign w:val="center"/>
          </w:tcPr>
          <w:p>
            <w:pPr>
              <w:spacing w:line="400" w:lineRule="exact"/>
              <w:jc w:val="center"/>
              <w:rPr>
                <w:rFonts w:ascii="宋体" w:hAnsi="宋体"/>
                <w:szCs w:val="21"/>
              </w:rPr>
            </w:pPr>
          </w:p>
        </w:tc>
        <w:tc>
          <w:tcPr>
            <w:tcW w:w="1044" w:type="pct"/>
            <w:vAlign w:val="center"/>
          </w:tcPr>
          <w:p>
            <w:pPr>
              <w:spacing w:line="400" w:lineRule="exact"/>
              <w:jc w:val="center"/>
              <w:rPr>
                <w:rFonts w:ascii="宋体" w:hAnsi="宋体"/>
                <w:szCs w:val="21"/>
              </w:rPr>
            </w:pPr>
          </w:p>
        </w:tc>
        <w:tc>
          <w:tcPr>
            <w:tcW w:w="667" w:type="pct"/>
          </w:tcPr>
          <w:p/>
        </w:tc>
        <w:tc>
          <w:tcPr>
            <w:tcW w:w="981" w:type="pct"/>
            <w:vAlign w:val="center"/>
          </w:tcPr>
          <w:p>
            <w:pPr>
              <w:jc w:val="center"/>
            </w:pPr>
          </w:p>
        </w:tc>
        <w:tc>
          <w:tcPr>
            <w:tcW w:w="515" w:type="pct"/>
            <w:vAlign w:val="center"/>
          </w:tcPr>
          <w:p>
            <w:pPr>
              <w:jc w:val="center"/>
            </w:pPr>
          </w:p>
        </w:tc>
        <w:tc>
          <w:tcPr>
            <w:tcW w:w="520"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r>
              <w:rPr>
                <w:rFonts w:hint="eastAsia"/>
              </w:rPr>
              <w:t>…</w:t>
            </w:r>
          </w:p>
        </w:tc>
        <w:tc>
          <w:tcPr>
            <w:tcW w:w="1041" w:type="pct"/>
            <w:vAlign w:val="center"/>
          </w:tcPr>
          <w:p>
            <w:pPr>
              <w:jc w:val="center"/>
            </w:pPr>
          </w:p>
        </w:tc>
        <w:tc>
          <w:tcPr>
            <w:tcW w:w="1044" w:type="pct"/>
            <w:vAlign w:val="center"/>
          </w:tcPr>
          <w:p>
            <w:pPr>
              <w:jc w:val="center"/>
            </w:pPr>
          </w:p>
        </w:tc>
        <w:tc>
          <w:tcPr>
            <w:tcW w:w="667" w:type="pct"/>
          </w:tcPr>
          <w:p/>
        </w:tc>
        <w:tc>
          <w:tcPr>
            <w:tcW w:w="981" w:type="pct"/>
            <w:vAlign w:val="center"/>
          </w:tcPr>
          <w:p>
            <w:pPr>
              <w:jc w:val="center"/>
            </w:pPr>
          </w:p>
        </w:tc>
        <w:tc>
          <w:tcPr>
            <w:tcW w:w="515" w:type="pct"/>
            <w:vAlign w:val="center"/>
          </w:tcPr>
          <w:p>
            <w:pPr>
              <w:jc w:val="center"/>
            </w:pPr>
          </w:p>
        </w:tc>
        <w:tc>
          <w:tcPr>
            <w:tcW w:w="520"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rPr>
            </w:pPr>
            <w:bookmarkStart w:id="7" w:name="_Toc476258666"/>
            <w:bookmarkStart w:id="8" w:name="_Toc476258667"/>
            <w:r>
              <w:rPr>
                <w:rFonts w:hint="eastAsia"/>
              </w:rPr>
              <w:t>商务部分</w:t>
            </w:r>
            <w:bookmarkEnd w:id="7"/>
            <w:r>
              <w:rPr>
                <w:rFonts w:hint="eastAsia"/>
              </w:rPr>
              <w:t>（商务要求表）</w:t>
            </w:r>
            <w:bookmarkEnd w:id="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bookmarkStart w:id="9" w:name="_Toc476258668"/>
            <w:r>
              <w:rPr>
                <w:rFonts w:hint="eastAsia"/>
              </w:rPr>
              <w:t>1</w:t>
            </w:r>
            <w:bookmarkEnd w:id="9"/>
          </w:p>
        </w:tc>
        <w:tc>
          <w:tcPr>
            <w:tcW w:w="1041" w:type="pct"/>
            <w:vAlign w:val="center"/>
          </w:tcPr>
          <w:p>
            <w:pPr>
              <w:tabs>
                <w:tab w:val="left" w:pos="180"/>
                <w:tab w:val="left" w:pos="1620"/>
              </w:tabs>
              <w:spacing w:line="240" w:lineRule="auto"/>
              <w:jc w:val="center"/>
              <w:rPr>
                <w:rFonts w:hint="eastAsia" w:ascii="宋体" w:hAnsi="宋体" w:eastAsia="宋体" w:cs="Times New Roman"/>
                <w:kern w:val="2"/>
                <w:sz w:val="21"/>
                <w:szCs w:val="21"/>
                <w:lang w:val="en-US" w:eastAsia="zh-CN" w:bidi="ar-SA"/>
              </w:rPr>
            </w:pPr>
            <w:r>
              <w:rPr>
                <w:rFonts w:hint="eastAsia" w:ascii="宋体" w:hAnsi="宋体"/>
                <w:szCs w:val="21"/>
              </w:rPr>
              <w:t>交付（实施）的时间（期限）和地点（范围）</w:t>
            </w:r>
          </w:p>
        </w:tc>
        <w:tc>
          <w:tcPr>
            <w:tcW w:w="1044" w:type="pct"/>
            <w:vAlign w:val="center"/>
          </w:tcPr>
          <w:p>
            <w:pPr>
              <w:tabs>
                <w:tab w:val="left" w:pos="180"/>
                <w:tab w:val="left" w:pos="1620"/>
              </w:tabs>
              <w:spacing w:line="400" w:lineRule="exact"/>
              <w:jc w:val="center"/>
              <w:rPr>
                <w:rFonts w:ascii="宋体" w:hAnsi="宋体" w:eastAsia="宋体" w:cs="Times New Roman"/>
                <w:kern w:val="2"/>
                <w:sz w:val="21"/>
                <w:szCs w:val="21"/>
                <w:lang w:val="en-US" w:eastAsia="zh-CN" w:bidi="ar-SA"/>
              </w:rPr>
            </w:pPr>
          </w:p>
        </w:tc>
        <w:tc>
          <w:tcPr>
            <w:tcW w:w="667" w:type="pct"/>
            <w:vAlign w:val="center"/>
          </w:tcPr>
          <w:p>
            <w:pPr>
              <w:jc w:val="center"/>
              <w:rPr>
                <w:rFonts w:hint="default" w:eastAsia="宋体"/>
                <w:lang w:val="en-US" w:eastAsia="zh-CN"/>
              </w:rPr>
            </w:pPr>
            <w:r>
              <w:rPr>
                <w:rFonts w:hint="eastAsia"/>
                <w:lang w:val="en-US" w:eastAsia="zh-CN"/>
              </w:rPr>
              <w:t>/</w:t>
            </w:r>
          </w:p>
        </w:tc>
        <w:tc>
          <w:tcPr>
            <w:tcW w:w="981" w:type="pct"/>
            <w:vAlign w:val="center"/>
          </w:tcPr>
          <w:p/>
        </w:tc>
        <w:tc>
          <w:tcPr>
            <w:tcW w:w="515" w:type="pct"/>
            <w:vAlign w:val="center"/>
          </w:tcPr>
          <w:p/>
        </w:tc>
        <w:tc>
          <w:tcPr>
            <w:tcW w:w="520"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bookmarkStart w:id="10" w:name="_Toc476258669"/>
            <w:r>
              <w:rPr>
                <w:rFonts w:hint="eastAsia"/>
              </w:rPr>
              <w:t>2</w:t>
            </w:r>
            <w:bookmarkEnd w:id="10"/>
          </w:p>
        </w:tc>
        <w:tc>
          <w:tcPr>
            <w:tcW w:w="1041" w:type="pct"/>
            <w:vAlign w:val="center"/>
          </w:tcPr>
          <w:p>
            <w:pPr>
              <w:spacing w:line="240" w:lineRule="auto"/>
              <w:jc w:val="center"/>
              <w:rPr>
                <w:rFonts w:hint="eastAsia" w:ascii="宋体" w:hAnsi="宋体" w:eastAsia="宋体" w:cs="Times New Roman"/>
                <w:kern w:val="2"/>
                <w:sz w:val="21"/>
                <w:szCs w:val="21"/>
                <w:lang w:val="en-US" w:eastAsia="zh-CN" w:bidi="ar-SA"/>
              </w:rPr>
            </w:pPr>
            <w:r>
              <w:rPr>
                <w:rFonts w:hint="eastAsia" w:ascii="宋体" w:hAnsi="宋体"/>
                <w:color w:val="auto"/>
                <w:szCs w:val="21"/>
                <w:highlight w:val="none"/>
              </w:rPr>
              <w:t>付款条件（进度和方式）</w:t>
            </w:r>
          </w:p>
        </w:tc>
        <w:tc>
          <w:tcPr>
            <w:tcW w:w="1044" w:type="pct"/>
            <w:vAlign w:val="center"/>
          </w:tcPr>
          <w:p>
            <w:pPr>
              <w:spacing w:line="400" w:lineRule="exact"/>
              <w:jc w:val="center"/>
              <w:rPr>
                <w:rFonts w:ascii="宋体" w:hAnsi="宋体" w:eastAsia="宋体" w:cs="Times New Roman"/>
                <w:kern w:val="2"/>
                <w:sz w:val="21"/>
                <w:szCs w:val="21"/>
                <w:lang w:val="en-US" w:eastAsia="zh-CN" w:bidi="ar-SA"/>
              </w:rPr>
            </w:pPr>
          </w:p>
        </w:tc>
        <w:tc>
          <w:tcPr>
            <w:tcW w:w="667" w:type="pct"/>
            <w:vAlign w:val="center"/>
          </w:tcPr>
          <w:p>
            <w:pPr>
              <w:jc w:val="center"/>
              <w:rPr>
                <w:rFonts w:hint="eastAsia" w:eastAsia="宋体"/>
                <w:lang w:val="en-US" w:eastAsia="zh-CN"/>
              </w:rPr>
            </w:pPr>
            <w:r>
              <w:rPr>
                <w:rFonts w:hint="eastAsia"/>
                <w:lang w:val="en-US" w:eastAsia="zh-CN"/>
              </w:rPr>
              <w:t>/</w:t>
            </w:r>
          </w:p>
        </w:tc>
        <w:tc>
          <w:tcPr>
            <w:tcW w:w="981" w:type="pct"/>
            <w:vAlign w:val="center"/>
          </w:tcPr>
          <w:p/>
        </w:tc>
        <w:tc>
          <w:tcPr>
            <w:tcW w:w="515" w:type="pct"/>
            <w:vAlign w:val="center"/>
          </w:tcPr>
          <w:p/>
        </w:tc>
        <w:tc>
          <w:tcPr>
            <w:tcW w:w="520"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9" w:type="pct"/>
            <w:vAlign w:val="center"/>
          </w:tcPr>
          <w:p>
            <w:pPr>
              <w:jc w:val="center"/>
            </w:pPr>
            <w:bookmarkStart w:id="11" w:name="_Toc476258670"/>
            <w:r>
              <w:rPr>
                <w:rFonts w:hint="eastAsia"/>
              </w:rPr>
              <w:t>3</w:t>
            </w:r>
            <w:bookmarkEnd w:id="11"/>
          </w:p>
        </w:tc>
        <w:tc>
          <w:tcPr>
            <w:tcW w:w="1041" w:type="pct"/>
            <w:vAlign w:val="center"/>
          </w:tcPr>
          <w:p>
            <w:pPr>
              <w:spacing w:line="400" w:lineRule="exact"/>
              <w:jc w:val="center"/>
              <w:rPr>
                <w:rFonts w:hint="eastAsia" w:ascii="宋体" w:hAnsi="宋体" w:eastAsia="宋体" w:cs="Times New Roman"/>
                <w:kern w:val="2"/>
                <w:sz w:val="21"/>
                <w:szCs w:val="21"/>
                <w:lang w:val="en-US" w:eastAsia="zh-CN" w:bidi="ar-SA"/>
              </w:rPr>
            </w:pPr>
            <w:r>
              <w:rPr>
                <w:rFonts w:hint="eastAsia" w:ascii="宋体" w:hAnsi="宋体"/>
                <w:color w:val="auto"/>
                <w:szCs w:val="21"/>
                <w:highlight w:val="none"/>
              </w:rPr>
              <w:t>包装和运输</w:t>
            </w:r>
          </w:p>
        </w:tc>
        <w:tc>
          <w:tcPr>
            <w:tcW w:w="1044" w:type="pct"/>
            <w:vAlign w:val="center"/>
          </w:tcPr>
          <w:p>
            <w:pPr>
              <w:spacing w:line="400" w:lineRule="exact"/>
              <w:jc w:val="center"/>
              <w:rPr>
                <w:rFonts w:ascii="宋体" w:hAnsi="宋体" w:eastAsia="宋体" w:cs="Times New Roman"/>
                <w:kern w:val="2"/>
                <w:sz w:val="21"/>
                <w:szCs w:val="21"/>
                <w:lang w:val="en-US" w:eastAsia="zh-CN" w:bidi="ar-SA"/>
              </w:rPr>
            </w:pPr>
          </w:p>
        </w:tc>
        <w:tc>
          <w:tcPr>
            <w:tcW w:w="667" w:type="pct"/>
            <w:vAlign w:val="center"/>
          </w:tcPr>
          <w:p>
            <w:pPr>
              <w:jc w:val="center"/>
              <w:rPr>
                <w:rFonts w:hint="eastAsia" w:eastAsia="宋体"/>
                <w:lang w:val="en-US" w:eastAsia="zh-CN"/>
              </w:rPr>
            </w:pPr>
            <w:r>
              <w:rPr>
                <w:rFonts w:hint="eastAsia"/>
                <w:lang w:val="en-US" w:eastAsia="zh-CN"/>
              </w:rPr>
              <w:t>/</w:t>
            </w:r>
          </w:p>
        </w:tc>
        <w:tc>
          <w:tcPr>
            <w:tcW w:w="981" w:type="pct"/>
            <w:vAlign w:val="center"/>
          </w:tcPr>
          <w:p/>
        </w:tc>
        <w:tc>
          <w:tcPr>
            <w:tcW w:w="515" w:type="pct"/>
            <w:vAlign w:val="center"/>
          </w:tcPr>
          <w:p/>
        </w:tc>
        <w:tc>
          <w:tcPr>
            <w:tcW w:w="520" w:type="pct"/>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9" w:type="pct"/>
            <w:vAlign w:val="center"/>
          </w:tcPr>
          <w:p>
            <w:pPr>
              <w:jc w:val="center"/>
              <w:rPr>
                <w:rFonts w:hint="eastAsia" w:eastAsia="宋体"/>
                <w:lang w:val="en-US" w:eastAsia="zh-CN"/>
              </w:rPr>
            </w:pPr>
            <w:r>
              <w:rPr>
                <w:rFonts w:hint="eastAsia"/>
                <w:lang w:val="en-US" w:eastAsia="zh-CN"/>
              </w:rPr>
              <w:t>4</w:t>
            </w:r>
          </w:p>
        </w:tc>
        <w:tc>
          <w:tcPr>
            <w:tcW w:w="1041" w:type="pct"/>
            <w:vAlign w:val="center"/>
          </w:tcPr>
          <w:p>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履约验收要求</w:t>
            </w:r>
          </w:p>
        </w:tc>
        <w:tc>
          <w:tcPr>
            <w:tcW w:w="1044"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7" w:type="pct"/>
            <w:vAlign w:val="center"/>
          </w:tcPr>
          <w:p>
            <w:pPr>
              <w:jc w:val="center"/>
              <w:rPr>
                <w:rFonts w:hint="eastAsia" w:eastAsia="宋体"/>
                <w:lang w:val="en-US" w:eastAsia="zh-CN"/>
              </w:rPr>
            </w:pPr>
            <w:r>
              <w:rPr>
                <w:rFonts w:hint="eastAsia"/>
                <w:lang w:val="en-US" w:eastAsia="zh-CN"/>
              </w:rPr>
              <w:t>/</w:t>
            </w:r>
          </w:p>
        </w:tc>
        <w:tc>
          <w:tcPr>
            <w:tcW w:w="981" w:type="pct"/>
            <w:tcBorders>
              <w:right w:val="single" w:color="auto" w:sz="4" w:space="0"/>
            </w:tcBorders>
            <w:vAlign w:val="center"/>
          </w:tcPr>
          <w:p/>
        </w:tc>
        <w:tc>
          <w:tcPr>
            <w:tcW w:w="515" w:type="pct"/>
            <w:tcBorders>
              <w:left w:val="single" w:color="auto" w:sz="4" w:space="0"/>
            </w:tcBorders>
            <w:vAlign w:val="center"/>
          </w:tcPr>
          <w:p/>
        </w:tc>
        <w:tc>
          <w:tcPr>
            <w:tcW w:w="520" w:type="pct"/>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9" w:type="pct"/>
            <w:vAlign w:val="center"/>
          </w:tcPr>
          <w:p>
            <w:pPr>
              <w:jc w:val="center"/>
              <w:rPr>
                <w:rFonts w:hint="eastAsia"/>
              </w:rPr>
            </w:pPr>
            <w:bookmarkStart w:id="12" w:name="_Toc476258671"/>
            <w:r>
              <w:rPr>
                <w:rFonts w:hint="eastAsia"/>
              </w:rPr>
              <w:t>…</w:t>
            </w:r>
            <w:bookmarkEnd w:id="12"/>
          </w:p>
        </w:tc>
        <w:tc>
          <w:tcPr>
            <w:tcW w:w="1041" w:type="pct"/>
            <w:vAlign w:val="center"/>
          </w:tcPr>
          <w:p>
            <w:pPr>
              <w:rPr>
                <w:rFonts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（以上项目按询价通知书第二章《采购需求》逐项填列，本表可清除）</w:t>
            </w:r>
          </w:p>
        </w:tc>
        <w:tc>
          <w:tcPr>
            <w:tcW w:w="1044" w:type="pct"/>
            <w:vAlign w:val="center"/>
          </w:tcPr>
          <w:p/>
        </w:tc>
        <w:tc>
          <w:tcPr>
            <w:tcW w:w="667" w:type="pct"/>
            <w:vAlign w:val="center"/>
          </w:tcPr>
          <w:p/>
        </w:tc>
        <w:tc>
          <w:tcPr>
            <w:tcW w:w="981" w:type="pct"/>
            <w:tcBorders>
              <w:right w:val="single" w:color="auto" w:sz="4" w:space="0"/>
            </w:tcBorders>
            <w:vAlign w:val="center"/>
          </w:tcPr>
          <w:p/>
        </w:tc>
        <w:tc>
          <w:tcPr>
            <w:tcW w:w="515" w:type="pct"/>
            <w:tcBorders>
              <w:left w:val="single" w:color="auto" w:sz="4" w:space="0"/>
            </w:tcBorders>
            <w:vAlign w:val="center"/>
          </w:tcPr>
          <w:p/>
        </w:tc>
        <w:tc>
          <w:tcPr>
            <w:tcW w:w="520" w:type="pct"/>
            <w:tcBorders>
              <w:left w:val="single" w:color="auto" w:sz="4" w:space="0"/>
            </w:tcBorders>
            <w:vAlign w:val="center"/>
          </w:tcPr>
          <w:p/>
        </w:tc>
      </w:tr>
    </w:tbl>
    <w:p>
      <w:pPr>
        <w:adjustRightInd w:val="0"/>
        <w:snapToGrid w:val="0"/>
        <w:spacing w:line="360" w:lineRule="exact"/>
        <w:rPr>
          <w:rFonts w:hint="eastAsia" w:ascii="宋体" w:hAnsi="宋体"/>
          <w:b/>
          <w:color w:val="auto"/>
          <w:szCs w:val="21"/>
        </w:rPr>
      </w:pPr>
    </w:p>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w:t>
      </w:r>
      <w:r>
        <w:rPr>
          <w:rFonts w:hint="eastAsia" w:hAnsi="宋体"/>
          <w:b/>
          <w:color w:val="auto"/>
          <w:lang w:val="en-US" w:eastAsia="zh-CN"/>
        </w:rPr>
        <w:t>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1"/>
        <w:spacing w:line="400" w:lineRule="exact"/>
        <w:rPr>
          <w:rFonts w:ascii="宋体" w:hAnsi="宋体" w:eastAsia="宋体"/>
          <w:b/>
          <w:color w:val="auto"/>
          <w:sz w:val="21"/>
          <w:szCs w:val="21"/>
        </w:rPr>
      </w:pPr>
      <w:r>
        <w:rPr>
          <w:rFonts w:hint="eastAsia" w:ascii="宋体" w:hAnsi="宋体" w:eastAsia="宋体"/>
          <w:b/>
          <w:color w:val="auto"/>
          <w:sz w:val="21"/>
          <w:szCs w:val="21"/>
        </w:rPr>
        <w:t>2、应对照</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w:t>
      </w:r>
      <w:r>
        <w:rPr>
          <w:rFonts w:hint="eastAsia" w:hAnsi="宋体"/>
          <w:b/>
          <w:color w:val="auto"/>
        </w:rPr>
        <w:t>第二章 采购需求</w:t>
      </w:r>
      <w:r>
        <w:rPr>
          <w:rFonts w:hint="eastAsia" w:ascii="宋体" w:hAnsi="宋体" w:eastAsia="宋体"/>
          <w:b/>
          <w:color w:val="auto"/>
          <w:sz w:val="21"/>
          <w:szCs w:val="21"/>
        </w:rPr>
        <w:t>”</w:t>
      </w:r>
      <w:r>
        <w:rPr>
          <w:rFonts w:hint="eastAsia" w:ascii="宋体" w:hAnsi="宋体" w:eastAsia="宋体"/>
          <w:b/>
          <w:color w:val="auto"/>
          <w:sz w:val="21"/>
          <w:szCs w:val="21"/>
          <w:lang w:eastAsia="zh-CN"/>
        </w:rPr>
        <w:t>中</w:t>
      </w:r>
      <w:r>
        <w:rPr>
          <w:rFonts w:hint="eastAsia" w:ascii="宋体" w:hAnsi="宋体" w:eastAsia="宋体"/>
          <w:b/>
          <w:color w:val="auto"/>
          <w:sz w:val="21"/>
          <w:szCs w:val="21"/>
        </w:rPr>
        <w:t>采购项目技术规格、参数及要求，逐条说明所提供货物和服务已对</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的商务、服务做出了实质性的响应，并申明商务、技术条文的响应和偏离</w:t>
      </w:r>
      <w:r>
        <w:rPr>
          <w:rFonts w:hint="eastAsia" w:ascii="宋体" w:hAnsi="宋体" w:eastAsia="宋体"/>
          <w:b/>
          <w:color w:val="auto"/>
          <w:sz w:val="21"/>
          <w:szCs w:val="21"/>
          <w:lang w:val="en-US" w:eastAsia="zh-CN"/>
        </w:rPr>
        <w:t>情况</w:t>
      </w:r>
      <w:r>
        <w:rPr>
          <w:rFonts w:hint="eastAsia" w:ascii="宋体" w:hAnsi="宋体" w:eastAsia="宋体"/>
          <w:b/>
          <w:color w:val="auto"/>
          <w:sz w:val="21"/>
          <w:szCs w:val="21"/>
        </w:rPr>
        <w:t>。如果仅注明“符合”、“满足”或简单复制</w:t>
      </w:r>
      <w:r>
        <w:rPr>
          <w:rFonts w:hint="eastAsia" w:ascii="宋体" w:hAnsi="宋体" w:eastAsia="宋体"/>
          <w:b/>
          <w:color w:val="auto"/>
          <w:sz w:val="21"/>
          <w:szCs w:val="21"/>
          <w:lang w:val="en-US" w:eastAsia="zh-CN"/>
        </w:rPr>
        <w:t>询价通知书的</w:t>
      </w:r>
      <w:r>
        <w:rPr>
          <w:rFonts w:hint="eastAsia" w:ascii="宋体" w:hAnsi="宋体" w:eastAsia="宋体"/>
          <w:b/>
          <w:color w:val="auto"/>
          <w:sz w:val="21"/>
          <w:szCs w:val="21"/>
        </w:rPr>
        <w:t>要求，将导致</w:t>
      </w:r>
      <w:r>
        <w:rPr>
          <w:rFonts w:hint="eastAsia" w:ascii="宋体" w:hAnsi="宋体" w:eastAsia="宋体"/>
          <w:b/>
          <w:color w:val="auto"/>
          <w:sz w:val="21"/>
          <w:szCs w:val="21"/>
          <w:lang w:val="en-US" w:eastAsia="zh-CN"/>
        </w:rPr>
        <w:t>响应文件</w:t>
      </w:r>
      <w:r>
        <w:rPr>
          <w:rFonts w:hint="eastAsia" w:ascii="宋体" w:hAnsi="宋体" w:eastAsia="宋体"/>
          <w:b/>
          <w:color w:val="auto"/>
          <w:sz w:val="21"/>
          <w:szCs w:val="21"/>
        </w:rPr>
        <w:t>被拒绝。特别对有具体商务、服务参数要求的，供应商必须提供对应的详细应答。</w:t>
      </w:r>
    </w:p>
    <w:p>
      <w:pPr>
        <w:pStyle w:val="11"/>
        <w:spacing w:line="360" w:lineRule="exact"/>
        <w:rPr>
          <w:rFonts w:hAnsi="宋体"/>
          <w:color w:val="auto"/>
        </w:rPr>
      </w:pPr>
    </w:p>
    <w:p>
      <w:pPr>
        <w:pStyle w:val="11"/>
        <w:spacing w:line="500" w:lineRule="exact"/>
        <w:ind w:firstLine="4200" w:firstLineChars="2000"/>
        <w:rPr>
          <w:rFonts w:hAnsi="宋体"/>
          <w:color w:val="auto"/>
          <w:u w:val="single"/>
        </w:rPr>
      </w:pPr>
      <w:r>
        <w:rPr>
          <w:rFonts w:hint="eastAsia" w:hAnsi="宋体"/>
          <w:color w:val="auto"/>
        </w:rPr>
        <w:t>法定代表人或委托代理人（签字</w:t>
      </w:r>
      <w:r>
        <w:rPr>
          <w:rFonts w:hint="eastAsia" w:hAnsi="宋体"/>
          <w:color w:val="auto"/>
          <w:lang w:val="en-US" w:eastAsia="zh-CN"/>
        </w:rPr>
        <w:t>或盖章</w:t>
      </w:r>
      <w:r>
        <w:rPr>
          <w:rFonts w:hint="eastAsia" w:hAnsi="宋体"/>
          <w:color w:val="auto"/>
        </w:rPr>
        <w:t>）:</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hint="default" w:asciiTheme="majorEastAsia" w:hAnsiTheme="majorEastAsia" w:eastAsiaTheme="majorEastAsia"/>
          <w:b w:val="0"/>
          <w:bCs/>
          <w:color w:val="auto"/>
          <w:sz w:val="21"/>
          <w:szCs w:val="21"/>
          <w:lang w:val="en-US" w:eastAsia="zh-CN"/>
        </w:rPr>
      </w:pPr>
      <w:r>
        <w:rPr>
          <w:rFonts w:hint="eastAsia" w:asciiTheme="majorEastAsia" w:hAnsiTheme="majorEastAsia" w:eastAsiaTheme="majorEastAsia"/>
          <w:b w:val="0"/>
          <w:bCs/>
          <w:color w:val="auto"/>
          <w:sz w:val="21"/>
          <w:szCs w:val="21"/>
          <w:lang w:val="en-US" w:eastAsia="zh-CN"/>
        </w:rPr>
        <w:t xml:space="preserve">日期：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年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月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日 </w:t>
      </w:r>
    </w:p>
    <w:p>
      <w:pPr>
        <w:spacing w:line="520" w:lineRule="exact"/>
        <w:jc w:val="left"/>
        <w:rPr>
          <w:rFonts w:hint="eastAsia" w:ascii="宋体" w:hAnsi="宋体" w:eastAsia="宋体" w:cs="Times New Roman"/>
          <w:b/>
          <w:color w:val="auto"/>
          <w:sz w:val="28"/>
          <w:szCs w:val="28"/>
          <w:lang w:eastAsia="zh-CN"/>
        </w:rPr>
      </w:pPr>
      <w:r>
        <w:rPr>
          <w:rFonts w:hint="eastAsia" w:asciiTheme="majorEastAsia" w:hAnsiTheme="majorEastAsia" w:eastAsiaTheme="majorEastAsia"/>
          <w:b/>
          <w:color w:val="auto"/>
          <w:sz w:val="24"/>
        </w:rPr>
        <w:t xml:space="preserve">      </w:t>
      </w:r>
      <w:r>
        <w:rPr>
          <w:rFonts w:hint="eastAsia" w:ascii="宋体" w:hAnsi="宋体" w:eastAsia="宋体" w:cs="Times New Roman"/>
          <w:b/>
          <w:color w:val="auto"/>
          <w:sz w:val="28"/>
          <w:szCs w:val="28"/>
          <w:lang w:eastAsia="zh-CN"/>
        </w:rPr>
        <w:t>附件</w:t>
      </w:r>
      <w:r>
        <w:rPr>
          <w:rFonts w:hint="eastAsia" w:ascii="宋体" w:hAnsi="宋体" w:eastAsia="宋体" w:cs="Times New Roman"/>
          <w:b/>
          <w:color w:val="auto"/>
          <w:sz w:val="28"/>
          <w:szCs w:val="28"/>
          <w:lang w:val="en-US" w:eastAsia="zh-CN"/>
        </w:rPr>
        <w:t>三</w:t>
      </w:r>
    </w:p>
    <w:p>
      <w:pPr>
        <w:spacing w:line="300" w:lineRule="auto"/>
        <w:rPr>
          <w:rFonts w:ascii="宋体" w:hAnsi="宋体"/>
          <w:b/>
          <w:color w:val="auto"/>
          <w:szCs w:val="21"/>
        </w:rPr>
      </w:pPr>
    </w:p>
    <w:p>
      <w:pPr>
        <w:pStyle w:val="11"/>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1"/>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1"/>
        <w:spacing w:line="460" w:lineRule="exact"/>
        <w:ind w:firstLine="539" w:firstLineChars="257"/>
        <w:rPr>
          <w:rFonts w:ascii="仿宋" w:hAnsi="仿宋" w:eastAsia="仿宋" w:cs="仿宋"/>
          <w:color w:val="auto"/>
        </w:rPr>
      </w:pPr>
    </w:p>
    <w:p>
      <w:pPr>
        <w:pStyle w:val="11"/>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1"/>
        <w:spacing w:line="460" w:lineRule="exact"/>
        <w:ind w:firstLine="539" w:firstLineChars="257"/>
        <w:rPr>
          <w:rFonts w:ascii="仿宋" w:hAnsi="仿宋" w:eastAsia="仿宋" w:cs="仿宋"/>
          <w:color w:val="auto"/>
        </w:rPr>
      </w:pPr>
    </w:p>
    <w:tbl>
      <w:tblPr>
        <w:tblStyle w:val="18"/>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tc>
      </w:tr>
    </w:tbl>
    <w:p>
      <w:pPr>
        <w:pStyle w:val="11"/>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1"/>
        <w:spacing w:line="460" w:lineRule="exact"/>
        <w:ind w:firstLine="539" w:firstLineChars="257"/>
        <w:rPr>
          <w:rFonts w:ascii="仿宋" w:hAnsi="仿宋" w:eastAsia="仿宋" w:cs="仿宋"/>
          <w:color w:val="auto"/>
        </w:rPr>
      </w:pPr>
    </w:p>
    <w:p>
      <w:pPr>
        <w:pStyle w:val="11"/>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1"/>
        <w:spacing w:line="460" w:lineRule="exact"/>
        <w:rPr>
          <w:color w:val="auto"/>
        </w:rPr>
      </w:pPr>
    </w:p>
    <w:p>
      <w:pPr>
        <w:pStyle w:val="11"/>
        <w:spacing w:line="460" w:lineRule="exact"/>
        <w:rPr>
          <w:color w:val="auto"/>
        </w:rPr>
      </w:pPr>
    </w:p>
    <w:p>
      <w:pPr>
        <w:pStyle w:val="16"/>
        <w:ind w:left="980" w:hanging="560"/>
        <w:rPr>
          <w:color w:val="auto"/>
          <w:highlight w:val="yellow"/>
        </w:rPr>
      </w:pPr>
    </w:p>
    <w:p>
      <w:pPr>
        <w:pStyle w:val="16"/>
        <w:ind w:left="980" w:hanging="560"/>
        <w:rPr>
          <w:rFonts w:hint="eastAsia" w:eastAsia="宋体"/>
          <w:b/>
          <w:bCs/>
          <w:color w:val="auto"/>
          <w:highlight w:val="none"/>
          <w:lang w:eastAsia="zh-CN"/>
        </w:rPr>
      </w:pPr>
      <w:r>
        <w:rPr>
          <w:rFonts w:hint="eastAsia"/>
          <w:b/>
          <w:bCs/>
          <w:color w:val="auto"/>
          <w:highlight w:val="none"/>
          <w:lang w:eastAsia="zh-CN"/>
        </w:rPr>
        <w:t>附件</w:t>
      </w:r>
      <w:r>
        <w:rPr>
          <w:rFonts w:hint="eastAsia"/>
          <w:b/>
          <w:bCs/>
          <w:color w:val="auto"/>
          <w:highlight w:val="none"/>
          <w:lang w:val="en-US" w:eastAsia="zh-CN"/>
        </w:rPr>
        <w:t>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我</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（姓名）系</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8"/>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p>
            <w:pPr>
              <w:pStyle w:val="11"/>
              <w:spacing w:before="120" w:line="360" w:lineRule="auto"/>
              <w:ind w:firstLine="420"/>
              <w:rPr>
                <w:rFonts w:hAnsi="宋体"/>
                <w:color w:val="auto"/>
              </w:rPr>
            </w:pPr>
          </w:p>
        </w:tc>
      </w:tr>
    </w:tbl>
    <w:p>
      <w:pPr>
        <w:wordWrap w:val="0"/>
        <w:spacing w:line="500" w:lineRule="exact"/>
        <w:ind w:firstLine="0" w:firstLineChars="0"/>
        <w:jc w:val="both"/>
        <w:rPr>
          <w:rFonts w:asciiTheme="majorEastAsia" w:hAnsiTheme="majorEastAsia" w:eastAsiaTheme="majorEastAsia"/>
          <w:color w:val="auto"/>
          <w:sz w:val="28"/>
        </w:rPr>
      </w:pPr>
      <w:r>
        <w:rPr>
          <w:rFonts w:ascii="宋体" w:hAnsi="宋体"/>
          <w:b/>
          <w:color w:val="auto"/>
          <w:sz w:val="24"/>
          <w:highlight w:val="yellow"/>
        </w:rPr>
        <w:br w:type="page"/>
      </w:r>
    </w:p>
    <w:p>
      <w:pP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附件五</w:t>
      </w:r>
    </w:p>
    <w:p>
      <w:pPr>
        <w:rPr>
          <w:rFonts w:hint="eastAsia" w:ascii="宋体" w:hAnsi="宋体" w:eastAsia="宋体" w:cs="宋体"/>
          <w:color w:val="auto"/>
          <w:sz w:val="32"/>
          <w:szCs w:val="32"/>
        </w:rPr>
      </w:pPr>
      <w:r>
        <w:rPr>
          <w:rFonts w:hint="eastAsia" w:ascii="宋体" w:hAnsi="宋体" w:eastAsia="宋体" w:cs="宋体"/>
          <w:b/>
          <w:bCs/>
          <w:color w:val="auto"/>
          <w:sz w:val="32"/>
          <w:szCs w:val="32"/>
        </w:rPr>
        <w:t>有效的主体资格证明文件复印件：</w:t>
      </w: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rPr>
          <w:rFonts w:hint="eastAsia" w:ascii="宋体" w:hAnsi="宋体" w:eastAsia="宋体" w:cs="宋体"/>
          <w:color w:val="auto"/>
          <w:sz w:val="24"/>
          <w:szCs w:val="24"/>
        </w:rPr>
      </w:pPr>
      <w:r>
        <w:rPr>
          <w:rFonts w:hint="eastAsia" w:ascii="宋体" w:hAnsi="宋体" w:eastAsia="宋体" w:cs="宋体"/>
          <w:color w:val="auto"/>
          <w:sz w:val="24"/>
          <w:szCs w:val="24"/>
        </w:rPr>
        <w:t>②本项目的特定资格要求:[</w:t>
      </w:r>
      <w:r>
        <w:rPr>
          <w:rFonts w:hint="eastAsia" w:ascii="宋体" w:hAnsi="宋体" w:cs="宋体"/>
          <w:color w:val="auto"/>
          <w:sz w:val="24"/>
          <w:szCs w:val="24"/>
          <w:lang w:eastAsia="zh-CN"/>
        </w:rPr>
        <w:t>如有要求，</w:t>
      </w:r>
      <w:r>
        <w:rPr>
          <w:rFonts w:hint="eastAsia" w:ascii="宋体" w:hAnsi="宋体" w:eastAsia="宋体" w:cs="宋体"/>
          <w:color w:val="auto"/>
          <w:sz w:val="24"/>
          <w:szCs w:val="24"/>
        </w:rPr>
        <w:t>必须提供]</w:t>
      </w:r>
    </w:p>
    <w:p>
      <w:pPr>
        <w:snapToGrid/>
        <w:spacing w:line="240" w:lineRule="auto"/>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pStyle w:val="15"/>
        <w:rPr>
          <w:color w:val="auto"/>
        </w:rPr>
      </w:pPr>
    </w:p>
    <w:p>
      <w:pPr>
        <w:autoSpaceDE w:val="0"/>
        <w:autoSpaceDN w:val="0"/>
        <w:spacing w:line="300" w:lineRule="auto"/>
        <w:ind w:left="480" w:hanging="480"/>
        <w:rPr>
          <w:rFonts w:hint="eastAsia" w:ascii="宋体" w:hAnsi="宋体" w:eastAsia="宋体"/>
          <w:b/>
          <w:color w:val="auto"/>
          <w:sz w:val="28"/>
          <w:szCs w:val="28"/>
          <w:lang w:eastAsia="zh-CN"/>
        </w:rPr>
      </w:pPr>
      <w:r>
        <w:rPr>
          <w:rFonts w:hint="eastAsia" w:ascii="宋体" w:hAnsi="宋体"/>
          <w:b/>
          <w:color w:val="auto"/>
          <w:sz w:val="28"/>
          <w:szCs w:val="28"/>
        </w:rPr>
        <w:t>附件</w:t>
      </w:r>
      <w:r>
        <w:rPr>
          <w:rFonts w:hint="eastAsia" w:ascii="宋体" w:hAnsi="宋体"/>
          <w:b/>
          <w:color w:val="auto"/>
          <w:sz w:val="28"/>
          <w:szCs w:val="28"/>
          <w:lang w:val="en-US" w:eastAsia="zh-CN"/>
        </w:rPr>
        <w:t>六</w:t>
      </w:r>
    </w:p>
    <w:p>
      <w:pPr>
        <w:pStyle w:val="16"/>
        <w:ind w:left="980" w:hanging="560"/>
        <w:rPr>
          <w:color w:val="auto"/>
        </w:rPr>
      </w:pPr>
    </w:p>
    <w:p>
      <w:pPr>
        <w:snapToGrid w:val="0"/>
        <w:spacing w:before="50" w:after="156" w:afterLines="50" w:line="360" w:lineRule="auto"/>
        <w:jc w:val="center"/>
        <w:rPr>
          <w:rFonts w:hint="eastAsia" w:ascii="方正小标宋简体" w:hAnsi="方正小标宋简体" w:eastAsia="方正小标宋简体" w:cs="方正小标宋简体"/>
          <w:bCs/>
          <w:color w:val="auto"/>
          <w:sz w:val="28"/>
          <w:szCs w:val="28"/>
          <w:lang w:eastAsia="zh-CN"/>
        </w:rPr>
      </w:pPr>
      <w:r>
        <w:rPr>
          <w:rFonts w:hint="eastAsia" w:ascii="方正小标宋简体" w:hAnsi="方正小标宋简体" w:eastAsia="方正小标宋简体" w:cs="方正小标宋简体"/>
          <w:bCs/>
          <w:color w:val="auto"/>
          <w:sz w:val="28"/>
          <w:szCs w:val="28"/>
          <w:lang w:eastAsia="zh-CN"/>
        </w:rPr>
        <w:t>供应商信用证明材料</w:t>
      </w:r>
    </w:p>
    <w:p>
      <w:pPr>
        <w:pStyle w:val="74"/>
        <w:numPr>
          <w:ilvl w:val="0"/>
          <w:numId w:val="2"/>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参加采购活动前三年内在经营活动中没有重大违法记录和不良信用记录的书面声明[格式自拟，必须提供]</w:t>
      </w:r>
    </w:p>
    <w:p>
      <w:pPr>
        <w:pStyle w:val="74"/>
        <w:numPr>
          <w:ilvl w:val="0"/>
          <w:numId w:val="2"/>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eastAsia="宋体" w:cs="宋体"/>
          <w:bCs/>
          <w:color w:val="auto"/>
          <w:sz w:val="24"/>
          <w:szCs w:val="24"/>
          <w:lang w:val="en-US" w:eastAsia="zh-CN"/>
        </w:rPr>
        <w:t>3.中国政府采购网截图[必须提供]</w:t>
      </w:r>
    </w:p>
    <w:p>
      <w:pPr>
        <w:spacing w:line="240" w:lineRule="auto"/>
        <w:ind w:right="0"/>
        <w:jc w:val="left"/>
        <w:rPr>
          <w:rFonts w:hint="eastAsia" w:asciiTheme="majorEastAsia" w:hAnsiTheme="majorEastAsia" w:eastAsiaTheme="majorEastAsia"/>
          <w:b/>
          <w:color w:val="auto"/>
          <w:sz w:val="32"/>
          <w:szCs w:val="32"/>
        </w:rPr>
      </w:pPr>
      <w:bookmarkStart w:id="13" w:name="_Toc42077370"/>
      <w:r>
        <w:rPr>
          <w:rFonts w:hint="eastAsia" w:asciiTheme="majorEastAsia" w:hAnsiTheme="majorEastAsia" w:eastAsiaTheme="majorEastAsia"/>
          <w:b/>
          <w:color w:val="auto"/>
          <w:sz w:val="32"/>
          <w:szCs w:val="32"/>
        </w:rPr>
        <w:br w:type="page"/>
      </w:r>
    </w:p>
    <w:p>
      <w:pPr>
        <w:bidi w:val="0"/>
        <w:jc w:val="center"/>
        <w:rPr>
          <w:rFonts w:hint="eastAsia" w:ascii="方正小标宋简体" w:hAnsi="方正小标宋简体" w:eastAsia="方正小标宋简体" w:cs="方正小标宋简体"/>
          <w:sz w:val="44"/>
          <w:szCs w:val="44"/>
        </w:rPr>
      </w:pPr>
      <w:bookmarkStart w:id="14" w:name="_Toc24643"/>
      <w:r>
        <w:rPr>
          <w:rFonts w:hint="eastAsia" w:ascii="方正小标宋简体" w:hAnsi="方正小标宋简体" w:eastAsia="方正小标宋简体" w:cs="方正小标宋简体"/>
          <w:sz w:val="44"/>
          <w:szCs w:val="44"/>
        </w:rPr>
        <w:t>第五章 合同主要条款</w:t>
      </w:r>
      <w:bookmarkEnd w:id="13"/>
      <w:bookmarkEnd w:id="14"/>
    </w:p>
    <w:p>
      <w:pPr>
        <w:spacing w:line="360" w:lineRule="exact"/>
        <w:ind w:right="960"/>
        <w:jc w:val="center"/>
        <w:rPr>
          <w:rFonts w:asciiTheme="majorEastAsia" w:hAnsiTheme="majorEastAsia" w:eastAsiaTheme="majorEastAsia"/>
          <w:b/>
          <w:color w:val="auto"/>
          <w:sz w:val="32"/>
          <w:szCs w:val="32"/>
        </w:rPr>
      </w:pPr>
    </w:p>
    <w:p>
      <w:pPr>
        <w:spacing w:line="500" w:lineRule="exact"/>
        <w:jc w:val="center"/>
        <w:rPr>
          <w:rFonts w:ascii="宋体" w:hAnsi="宋体" w:cs="宋体"/>
          <w:b/>
          <w:bCs/>
          <w:color w:val="auto"/>
          <w:sz w:val="44"/>
          <w:szCs w:val="52"/>
        </w:rPr>
      </w:pPr>
      <w:bookmarkStart w:id="15" w:name="_Toc15562802"/>
      <w:r>
        <w:rPr>
          <w:rFonts w:hint="eastAsia"/>
          <w:b/>
          <w:bCs/>
          <w:color w:val="auto"/>
          <w:sz w:val="40"/>
        </w:rPr>
        <w:t>广西工商职业技术学院武鸣校区健康运动训练馆窗帘采购项目</w:t>
      </w:r>
      <w:r>
        <w:rPr>
          <w:rFonts w:hint="eastAsia" w:ascii="宋体" w:hAnsi="宋体" w:cs="宋体"/>
          <w:b/>
          <w:bCs/>
          <w:color w:val="auto"/>
          <w:sz w:val="44"/>
          <w:szCs w:val="52"/>
        </w:rPr>
        <w:t>采购合同</w:t>
      </w:r>
    </w:p>
    <w:bookmarkEnd w:id="15"/>
    <w:p>
      <w:pPr>
        <w:adjustRightInd w:val="0"/>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采购方（甲方）：广西工商职业技术学院</w:t>
      </w:r>
    </w:p>
    <w:p>
      <w:pPr>
        <w:pStyle w:val="68"/>
        <w:shd w:val="clear" w:color="auto" w:fill="FFFFFF"/>
        <w:adjustRightInd w:val="0"/>
        <w:snapToGrid w:val="0"/>
        <w:spacing w:before="0" w:beforeAutospacing="0" w:after="0" w:afterAutospacing="0" w:line="360" w:lineRule="auto"/>
        <w:rPr>
          <w:rFonts w:ascii="仿宋" w:hAnsi="仿宋" w:eastAsia="仿宋" w:cs="Times New Roman"/>
          <w:color w:val="auto"/>
          <w:sz w:val="32"/>
          <w:szCs w:val="32"/>
        </w:rPr>
      </w:pPr>
      <w:r>
        <w:rPr>
          <w:rFonts w:hint="eastAsia" w:ascii="仿宋" w:hAnsi="仿宋" w:eastAsia="仿宋" w:cs="Times New Roman"/>
          <w:color w:val="auto"/>
          <w:sz w:val="32"/>
          <w:szCs w:val="32"/>
        </w:rPr>
        <w:t>供应方（乙方)：</w:t>
      </w:r>
    </w:p>
    <w:p>
      <w:pPr>
        <w:snapToGrid w:val="0"/>
        <w:spacing w:line="400" w:lineRule="exact"/>
        <w:ind w:firstLine="640" w:firstLineChars="200"/>
        <w:jc w:val="left"/>
        <w:rPr>
          <w:rFonts w:ascii="仿宋" w:hAnsi="仿宋" w:eastAsia="仿宋"/>
          <w:kern w:val="0"/>
          <w:sz w:val="32"/>
          <w:szCs w:val="32"/>
        </w:rPr>
      </w:pPr>
      <w:r>
        <w:rPr>
          <w:rFonts w:hint="eastAsia" w:ascii="仿宋" w:hAnsi="仿宋" w:eastAsia="仿宋"/>
          <w:sz w:val="32"/>
          <w:szCs w:val="32"/>
        </w:rPr>
        <w:t>根据甲方广西工商职业技术学院武鸣校区健康运动训练馆窗帘采购项目采购成交的结果、《中华人民共和国</w:t>
      </w:r>
      <w:r>
        <w:rPr>
          <w:rFonts w:hint="eastAsia" w:ascii="仿宋" w:hAnsi="仿宋" w:eastAsia="仿宋"/>
          <w:sz w:val="32"/>
          <w:szCs w:val="32"/>
          <w:lang w:eastAsia="zh-CN"/>
        </w:rPr>
        <w:t>民法典</w:t>
      </w:r>
      <w:r>
        <w:rPr>
          <w:rFonts w:hint="eastAsia" w:ascii="仿宋" w:hAnsi="仿宋" w:eastAsia="仿宋"/>
          <w:sz w:val="32"/>
          <w:szCs w:val="32"/>
        </w:rPr>
        <w:t>》及其他有关法律、法规之规定，甲乙双方经过协商，确认根据下列条款订立合同，以资共同遵照执行。</w:t>
      </w:r>
    </w:p>
    <w:p>
      <w:pPr>
        <w:pStyle w:val="59"/>
        <w:numPr>
          <w:ilvl w:val="0"/>
          <w:numId w:val="3"/>
        </w:numPr>
        <w:snapToGrid w:val="0"/>
        <w:spacing w:line="360" w:lineRule="auto"/>
        <w:ind w:firstLineChars="0"/>
        <w:rPr>
          <w:rFonts w:ascii="仿宋" w:hAnsi="仿宋" w:eastAsia="仿宋"/>
          <w:b/>
          <w:sz w:val="32"/>
          <w:szCs w:val="32"/>
        </w:rPr>
      </w:pPr>
      <w:r>
        <w:rPr>
          <w:rFonts w:hint="eastAsia" w:ascii="仿宋" w:hAnsi="仿宋" w:eastAsia="仿宋"/>
          <w:b/>
          <w:sz w:val="32"/>
          <w:szCs w:val="32"/>
        </w:rPr>
        <w:t>合同标的</w:t>
      </w:r>
    </w:p>
    <w:p>
      <w:pPr>
        <w:snapToGrid w:val="0"/>
        <w:spacing w:line="360" w:lineRule="auto"/>
        <w:rPr>
          <w:rFonts w:ascii="仿宋" w:hAnsi="仿宋" w:eastAsia="仿宋"/>
          <w:b/>
          <w:sz w:val="32"/>
          <w:szCs w:val="32"/>
        </w:rPr>
      </w:pPr>
      <w:r>
        <w:rPr>
          <w:rFonts w:hint="eastAsia" w:ascii="仿宋" w:hAnsi="仿宋" w:eastAsia="仿宋"/>
          <w:b/>
          <w:sz w:val="32"/>
          <w:szCs w:val="32"/>
        </w:rPr>
        <w:t>1.货物清单及价格</w:t>
      </w:r>
    </w:p>
    <w:tbl>
      <w:tblPr>
        <w:tblStyle w:val="18"/>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单项合价（元）</w:t>
            </w:r>
          </w:p>
          <w:p>
            <w:pPr>
              <w:spacing w:line="360" w:lineRule="auto"/>
              <w:jc w:val="center"/>
              <w:rPr>
                <w:rFonts w:ascii="仿宋" w:hAnsi="仿宋" w:eastAsia="仿宋"/>
                <w:kern w:val="0"/>
                <w:sz w:val="32"/>
                <w:szCs w:val="32"/>
              </w:rPr>
            </w:pPr>
            <w:r>
              <w:rPr>
                <w:rFonts w:hint="eastAsia" w:ascii="仿宋" w:hAnsi="仿宋" w:eastAsia="仿宋"/>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r>
              <w:rPr>
                <w:rFonts w:hint="eastAsia" w:ascii="仿宋" w:hAnsi="仿宋" w:eastAsia="仿宋"/>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kern w:val="0"/>
                <w:sz w:val="32"/>
                <w:szCs w:val="32"/>
              </w:rPr>
            </w:pPr>
            <w:r>
              <w:rPr>
                <w:rFonts w:hint="eastAsia" w:ascii="仿宋" w:hAnsi="仿宋" w:eastAsia="仿宋"/>
                <w:kern w:val="0"/>
                <w:sz w:val="32"/>
                <w:szCs w:val="32"/>
              </w:rPr>
              <w:t>合计（含其他优惠条件）：人民币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r>
              <w:rPr>
                <w:rFonts w:ascii="仿宋" w:hAnsi="仿宋" w:eastAsia="仿宋"/>
                <w:kern w:val="0"/>
                <w:sz w:val="32"/>
                <w:szCs w:val="32"/>
              </w:rPr>
              <w:t xml:space="preserve"> </w:t>
            </w:r>
          </w:p>
        </w:tc>
      </w:tr>
    </w:tbl>
    <w:p>
      <w:pPr>
        <w:snapToGrid w:val="0"/>
        <w:spacing w:line="360" w:lineRule="auto"/>
        <w:ind w:right="420"/>
        <w:rPr>
          <w:rFonts w:ascii="仿宋" w:hAnsi="仿宋" w:eastAsia="仿宋"/>
          <w:kern w:val="0"/>
          <w:sz w:val="32"/>
          <w:szCs w:val="32"/>
        </w:rPr>
      </w:pPr>
    </w:p>
    <w:p>
      <w:pPr>
        <w:snapToGrid w:val="0"/>
        <w:spacing w:line="360" w:lineRule="auto"/>
        <w:ind w:right="420"/>
        <w:rPr>
          <w:rFonts w:ascii="仿宋" w:hAnsi="仿宋" w:eastAsia="仿宋"/>
          <w:kern w:val="0"/>
          <w:sz w:val="32"/>
          <w:szCs w:val="32"/>
        </w:rPr>
      </w:pPr>
      <w:r>
        <w:rPr>
          <w:rFonts w:hint="eastAsia" w:ascii="仿宋" w:hAnsi="仿宋" w:eastAsia="仿宋"/>
          <w:kern w:val="0"/>
          <w:sz w:val="32"/>
          <w:szCs w:val="32"/>
        </w:rPr>
        <w:t>2.合同合计金额为：人民币     元整（</w:t>
      </w:r>
      <w:r>
        <w:rPr>
          <w:rFonts w:hint="eastAsia" w:ascii="宋体" w:hAnsi="宋体" w:cs="宋体"/>
          <w:kern w:val="0"/>
          <w:sz w:val="32"/>
          <w:szCs w:val="32"/>
        </w:rPr>
        <w:t>¥</w:t>
      </w:r>
      <w:r>
        <w:rPr>
          <w:rFonts w:hint="eastAsia" w:ascii="仿宋" w:hAnsi="仿宋" w:eastAsia="仿宋"/>
          <w:kern w:val="0"/>
          <w:sz w:val="32"/>
          <w:szCs w:val="32"/>
        </w:rPr>
        <w:t xml:space="preserve">          元 ）。</w:t>
      </w:r>
    </w:p>
    <w:p>
      <w:pPr>
        <w:snapToGrid w:val="0"/>
        <w:spacing w:line="360" w:lineRule="auto"/>
        <w:rPr>
          <w:rFonts w:ascii="仿宋" w:hAnsi="仿宋" w:eastAsia="仿宋"/>
          <w:kern w:val="0"/>
          <w:sz w:val="32"/>
          <w:szCs w:val="32"/>
        </w:rPr>
      </w:pPr>
      <w:r>
        <w:rPr>
          <w:rFonts w:hint="eastAsia" w:ascii="仿宋" w:hAnsi="仿宋" w:eastAsia="仿宋"/>
          <w:kern w:val="0"/>
          <w:sz w:val="32"/>
          <w:szCs w:val="32"/>
        </w:rPr>
        <w:t>3.合同合计金额包括完成本项目采购要求、人员要求所产生的全部费用。</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二、质量保证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1.乙方所提供的服务、货物质量应达到响应文件要求和承诺的质量要求。</w:t>
      </w:r>
    </w:p>
    <w:p>
      <w:pPr>
        <w:widowControl/>
        <w:spacing w:line="360" w:lineRule="auto"/>
        <w:ind w:firstLine="640" w:firstLineChars="200"/>
        <w:textAlignment w:val="center"/>
        <w:rPr>
          <w:rFonts w:ascii="仿宋" w:hAnsi="仿宋" w:eastAsia="仿宋"/>
          <w:kern w:val="0"/>
          <w:sz w:val="32"/>
          <w:szCs w:val="32"/>
        </w:rPr>
      </w:pPr>
      <w:r>
        <w:rPr>
          <w:rFonts w:hint="eastAsia" w:ascii="仿宋" w:hAnsi="仿宋" w:eastAsia="仿宋"/>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w:t>
      </w:r>
      <w:r>
        <w:rPr>
          <w:rFonts w:hint="eastAsia" w:ascii="仿宋" w:hAnsi="仿宋" w:eastAsia="仿宋"/>
          <w:kern w:val="0"/>
          <w:sz w:val="32"/>
          <w:szCs w:val="32"/>
          <w:lang w:eastAsia="zh-CN"/>
        </w:rPr>
        <w:t>货物、</w:t>
      </w:r>
      <w:r>
        <w:rPr>
          <w:rFonts w:hint="eastAsia" w:ascii="仿宋" w:hAnsi="仿宋" w:eastAsia="仿宋"/>
          <w:kern w:val="0"/>
          <w:sz w:val="32"/>
          <w:szCs w:val="32"/>
        </w:rPr>
        <w:t>服务不会侵犯任何第三方的专利权、商标权、工业设计权或其他权利。</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8"/>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3、货物在交付甲方前发生的风险均由乙方负责。</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四、交付方式与验收</w:t>
      </w:r>
    </w:p>
    <w:p>
      <w:pPr>
        <w:pStyle w:val="11"/>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1.交货时间：</w:t>
      </w:r>
      <w:r>
        <w:rPr>
          <w:rFonts w:hint="eastAsia" w:ascii="仿宋" w:hAnsi="仿宋" w:eastAsia="仿宋" w:cs="Times New Roman"/>
          <w:kern w:val="0"/>
          <w:sz w:val="32"/>
          <w:szCs w:val="32"/>
          <w:u w:val="single"/>
          <w:lang w:val="en-US" w:eastAsia="zh-CN"/>
        </w:rPr>
        <w:t xml:space="preserve">                           </w:t>
      </w:r>
      <w:r>
        <w:rPr>
          <w:rFonts w:hint="eastAsia" w:ascii="仿宋" w:hAnsi="仿宋" w:eastAsia="仿宋" w:cs="Times New Roman"/>
          <w:kern w:val="0"/>
          <w:sz w:val="32"/>
          <w:szCs w:val="32"/>
        </w:rPr>
        <w:t>。</w:t>
      </w:r>
    </w:p>
    <w:p>
      <w:pPr>
        <w:pStyle w:val="11"/>
        <w:spacing w:after="60"/>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2.交货地址：</w:t>
      </w:r>
      <w:r>
        <w:rPr>
          <w:rFonts w:hint="eastAsia" w:ascii="仿宋" w:hAnsi="仿宋" w:eastAsia="仿宋" w:cs="Times New Roman"/>
          <w:kern w:val="0"/>
          <w:sz w:val="32"/>
          <w:szCs w:val="32"/>
          <w:lang w:eastAsia="zh-CN"/>
        </w:rPr>
        <w:t>甲方指定地址</w:t>
      </w:r>
      <w:r>
        <w:rPr>
          <w:rFonts w:hint="eastAsia" w:ascii="仿宋" w:hAnsi="仿宋" w:eastAsia="仿宋" w:cs="Times New Roman"/>
          <w:kern w:val="0"/>
          <w:sz w:val="32"/>
          <w:szCs w:val="32"/>
        </w:rPr>
        <w:t>。</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4.乙方提供不符合响应文件和本合同规定的货物，甲方有权拒绝接受。</w:t>
      </w:r>
    </w:p>
    <w:p>
      <w:pPr>
        <w:spacing w:line="360" w:lineRule="auto"/>
        <w:ind w:firstLine="800" w:firstLineChars="250"/>
        <w:rPr>
          <w:rFonts w:ascii="仿宋" w:hAnsi="仿宋" w:eastAsia="仿宋"/>
          <w:kern w:val="0"/>
          <w:sz w:val="32"/>
          <w:szCs w:val="32"/>
        </w:rPr>
      </w:pPr>
      <w:r>
        <w:rPr>
          <w:rFonts w:hint="eastAsia" w:ascii="仿宋" w:hAnsi="仿宋" w:eastAsia="仿宋"/>
          <w:kern w:val="0"/>
          <w:sz w:val="32"/>
          <w:szCs w:val="32"/>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sz w:val="32"/>
          <w:szCs w:val="32"/>
        </w:rPr>
      </w:pPr>
      <w:r>
        <w:rPr>
          <w:rFonts w:hint="eastAsia" w:ascii="仿宋" w:hAnsi="仿宋" w:eastAsia="仿宋"/>
          <w:b/>
          <w:sz w:val="32"/>
          <w:szCs w:val="32"/>
        </w:rPr>
        <w:t>五、付款方式</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1.资金性质：财政性资金。</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2.付款方式：验收合格后甲方支付货款，付款方式：银行转账支付。</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3.合同价应为现场交货价，包括：</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（1）货物及标准附件、备品备件、专用工具的价格。</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（2）运输、装卸、调试、培训、技术支持、售后服务等费用。</w:t>
      </w:r>
    </w:p>
    <w:p>
      <w:pPr>
        <w:spacing w:line="36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七、售后服务</w:t>
      </w:r>
    </w:p>
    <w:p>
      <w:pPr>
        <w:autoSpaceDE w:val="0"/>
        <w:autoSpaceDN w:val="0"/>
        <w:adjustRightInd w:val="0"/>
        <w:spacing w:line="360" w:lineRule="auto"/>
        <w:ind w:firstLine="640" w:firstLineChars="200"/>
        <w:jc w:val="left"/>
        <w:rPr>
          <w:rFonts w:hint="eastAsia" w:ascii="仿宋" w:hAnsi="仿宋" w:eastAsia="仿宋"/>
          <w:kern w:val="0"/>
          <w:sz w:val="32"/>
          <w:szCs w:val="32"/>
        </w:rPr>
      </w:pP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w:t>
      </w:r>
      <w:r>
        <w:rPr>
          <w:rFonts w:hint="eastAsia" w:ascii="仿宋" w:hAnsi="仿宋" w:eastAsia="仿宋"/>
          <w:kern w:val="0"/>
          <w:sz w:val="32"/>
          <w:szCs w:val="32"/>
          <w:lang w:eastAsia="zh-CN"/>
        </w:rPr>
        <w:t>负责</w:t>
      </w:r>
      <w:r>
        <w:rPr>
          <w:rFonts w:ascii="仿宋" w:hAnsi="仿宋" w:eastAsia="仿宋"/>
          <w:kern w:val="0"/>
          <w:sz w:val="32"/>
          <w:szCs w:val="32"/>
        </w:rPr>
        <w:t>送货上门、安装调试至验收合格</w:t>
      </w:r>
      <w:r>
        <w:rPr>
          <w:rFonts w:hint="eastAsia" w:ascii="仿宋" w:hAnsi="仿宋" w:eastAsia="仿宋"/>
          <w:kern w:val="0"/>
          <w:sz w:val="32"/>
          <w:szCs w:val="32"/>
        </w:rPr>
        <w:t>。</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货物质保期：</w:t>
      </w:r>
      <w:r>
        <w:rPr>
          <w:rFonts w:hint="eastAsia" w:ascii="仿宋" w:hAnsi="仿宋" w:eastAsia="仿宋"/>
          <w:kern w:val="0"/>
          <w:sz w:val="32"/>
          <w:szCs w:val="32"/>
          <w:lang w:eastAsia="zh-CN"/>
        </w:rPr>
        <w:t>按乙方响应文件有关规定</w:t>
      </w:r>
      <w:r>
        <w:rPr>
          <w:rFonts w:hint="eastAsia" w:ascii="仿宋" w:hAnsi="仿宋" w:eastAsia="仿宋"/>
          <w:kern w:val="0"/>
          <w:sz w:val="32"/>
          <w:szCs w:val="32"/>
        </w:rPr>
        <w:t>。</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36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8"/>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36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1.本合同一式</w:t>
      </w:r>
      <w:r>
        <w:rPr>
          <w:rFonts w:hint="eastAsia" w:ascii="仿宋" w:hAnsi="仿宋" w:eastAsia="仿宋"/>
          <w:kern w:val="0"/>
          <w:sz w:val="32"/>
          <w:szCs w:val="32"/>
          <w:u w:val="single"/>
        </w:rPr>
        <w:t>陆</w:t>
      </w:r>
      <w:r>
        <w:rPr>
          <w:rFonts w:hint="eastAsia" w:ascii="仿宋" w:hAnsi="仿宋" w:eastAsia="仿宋"/>
          <w:kern w:val="0"/>
          <w:sz w:val="32"/>
          <w:szCs w:val="32"/>
        </w:rPr>
        <w:t>份，甲方</w:t>
      </w:r>
      <w:r>
        <w:rPr>
          <w:rFonts w:hint="eastAsia" w:ascii="仿宋" w:hAnsi="仿宋" w:eastAsia="仿宋"/>
          <w:kern w:val="0"/>
          <w:sz w:val="32"/>
          <w:szCs w:val="32"/>
          <w:u w:val="single"/>
        </w:rPr>
        <w:t>肆</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 xml:space="preserve">2.本合同甲乙双方签字盖章后生效。 </w:t>
      </w:r>
    </w:p>
    <w:tbl>
      <w:tblPr>
        <w:tblStyle w:val="18"/>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pStyle w:val="17"/>
              <w:spacing w:line="360" w:lineRule="auto"/>
              <w:ind w:left="980" w:firstLine="320"/>
              <w:rPr>
                <w:rFonts w:ascii="仿宋" w:hAnsi="仿宋" w:eastAsia="仿宋"/>
                <w:kern w:val="0"/>
                <w:sz w:val="32"/>
                <w:szCs w:val="32"/>
              </w:rPr>
            </w:pP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7"/>
              <w:spacing w:line="360" w:lineRule="auto"/>
              <w:ind w:left="980" w:firstLine="320"/>
              <w:rPr>
                <w:rFonts w:ascii="仿宋" w:hAnsi="仿宋" w:eastAsia="仿宋"/>
                <w:kern w:val="0"/>
                <w:sz w:val="32"/>
                <w:szCs w:val="32"/>
              </w:rPr>
            </w:pPr>
          </w:p>
          <w:p>
            <w:pPr>
              <w:pStyle w:val="11"/>
              <w:spacing w:line="360" w:lineRule="auto"/>
              <w:ind w:firstLine="562"/>
              <w:rPr>
                <w:rFonts w:ascii="仿宋" w:hAnsi="仿宋" w:eastAsia="仿宋" w:cs="Times New Roman"/>
                <w:kern w:val="0"/>
                <w:sz w:val="32"/>
                <w:szCs w:val="32"/>
              </w:rPr>
            </w:pPr>
          </w:p>
          <w:p>
            <w:pPr>
              <w:pStyle w:val="11"/>
              <w:spacing w:line="360" w:lineRule="auto"/>
              <w:rPr>
                <w:rFonts w:ascii="仿宋" w:hAnsi="仿宋" w:eastAsia="仿宋" w:cs="Times New Roman"/>
                <w:kern w:val="0"/>
                <w:sz w:val="32"/>
                <w:szCs w:val="32"/>
              </w:rPr>
            </w:pPr>
          </w:p>
          <w:p>
            <w:pPr>
              <w:pStyle w:val="11"/>
              <w:spacing w:line="360" w:lineRule="auto"/>
              <w:rPr>
                <w:rFonts w:ascii="仿宋" w:hAnsi="仿宋" w:eastAsia="仿宋" w:cs="Times New Roman"/>
                <w:kern w:val="0"/>
                <w:sz w:val="32"/>
                <w:szCs w:val="32"/>
              </w:rPr>
            </w:pPr>
          </w:p>
          <w:p>
            <w:pPr>
              <w:pStyle w:val="11"/>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    年   月   日</w:t>
            </w:r>
          </w:p>
        </w:tc>
        <w:tc>
          <w:tcPr>
            <w:tcW w:w="4441" w:type="dxa"/>
          </w:tcPr>
          <w:p>
            <w:pPr>
              <w:spacing w:line="360" w:lineRule="auto"/>
              <w:rPr>
                <w:rFonts w:ascii="仿宋" w:hAnsi="仿宋" w:eastAsia="仿宋"/>
                <w:kern w:val="0"/>
                <w:sz w:val="32"/>
                <w:szCs w:val="32"/>
              </w:rPr>
            </w:pPr>
            <w:r>
              <w:rPr>
                <w:rFonts w:hint="eastAsia" w:ascii="仿宋" w:hAnsi="仿宋" w:eastAsia="仿宋"/>
                <w:kern w:val="0"/>
                <w:sz w:val="32"/>
                <w:szCs w:val="32"/>
              </w:rPr>
              <w:t xml:space="preserve">乙方(盖章）：  </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jc w:val="left"/>
              <w:rPr>
                <w:rFonts w:ascii="仿宋" w:hAnsi="仿宋" w:eastAsia="仿宋"/>
                <w:kern w:val="0"/>
                <w:sz w:val="32"/>
                <w:szCs w:val="32"/>
              </w:rPr>
            </w:pPr>
            <w:r>
              <w:rPr>
                <w:rFonts w:hint="eastAsia" w:ascii="仿宋" w:hAnsi="仿宋" w:eastAsia="仿宋"/>
                <w:kern w:val="0"/>
                <w:sz w:val="32"/>
                <w:szCs w:val="32"/>
              </w:rPr>
              <w:t>或委托代理人：</w:t>
            </w:r>
          </w:p>
          <w:p>
            <w:pPr>
              <w:spacing w:line="360" w:lineRule="auto"/>
              <w:jc w:val="left"/>
              <w:rPr>
                <w:rFonts w:ascii="仿宋" w:hAnsi="仿宋" w:eastAsia="仿宋"/>
                <w:kern w:val="0"/>
                <w:sz w:val="32"/>
                <w:szCs w:val="32"/>
              </w:rPr>
            </w:pPr>
            <w:r>
              <w:rPr>
                <w:rFonts w:hint="eastAsia" w:ascii="仿宋" w:hAnsi="仿宋" w:eastAsia="仿宋"/>
                <w:kern w:val="0"/>
                <w:sz w:val="32"/>
                <w:szCs w:val="32"/>
              </w:rPr>
              <w:t>开户行：</w:t>
            </w:r>
          </w:p>
          <w:p>
            <w:pPr>
              <w:spacing w:line="360" w:lineRule="auto"/>
              <w:jc w:val="left"/>
              <w:rPr>
                <w:rFonts w:ascii="仿宋" w:hAnsi="仿宋" w:eastAsia="仿宋"/>
                <w:kern w:val="0"/>
                <w:sz w:val="32"/>
                <w:szCs w:val="32"/>
              </w:rPr>
            </w:pPr>
            <w:r>
              <w:rPr>
                <w:rFonts w:hint="eastAsia" w:ascii="仿宋" w:hAnsi="仿宋" w:eastAsia="仿宋"/>
                <w:kern w:val="0"/>
                <w:sz w:val="32"/>
                <w:szCs w:val="32"/>
              </w:rPr>
              <w:t>银行账号：</w:t>
            </w:r>
          </w:p>
          <w:p>
            <w:pPr>
              <w:spacing w:line="360" w:lineRule="auto"/>
              <w:jc w:val="left"/>
              <w:rPr>
                <w:rFonts w:ascii="仿宋" w:hAnsi="仿宋" w:eastAsia="仿宋"/>
                <w:kern w:val="0"/>
                <w:sz w:val="32"/>
                <w:szCs w:val="32"/>
              </w:rPr>
            </w:pPr>
            <w:r>
              <w:rPr>
                <w:rFonts w:hint="eastAsia" w:ascii="仿宋" w:hAnsi="仿宋" w:eastAsia="仿宋"/>
                <w:kern w:val="0"/>
                <w:sz w:val="32"/>
                <w:szCs w:val="32"/>
              </w:rPr>
              <w:t>联系电话：</w:t>
            </w:r>
          </w:p>
          <w:p>
            <w:pPr>
              <w:spacing w:line="360" w:lineRule="auto"/>
              <w:jc w:val="left"/>
              <w:rPr>
                <w:rFonts w:ascii="仿宋" w:hAnsi="仿宋" w:eastAsia="仿宋"/>
                <w:kern w:val="0"/>
                <w:sz w:val="32"/>
                <w:szCs w:val="32"/>
              </w:rPr>
            </w:pPr>
            <w:r>
              <w:rPr>
                <w:rFonts w:hint="eastAsia" w:ascii="仿宋" w:hAnsi="仿宋" w:eastAsia="仿宋"/>
                <w:kern w:val="0"/>
                <w:sz w:val="32"/>
                <w:szCs w:val="32"/>
              </w:rPr>
              <w:t>地址：</w:t>
            </w: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p>
          <w:p>
            <w:pPr>
              <w:spacing w:line="360" w:lineRule="auto"/>
              <w:jc w:val="left"/>
              <w:rPr>
                <w:rFonts w:ascii="仿宋" w:hAnsi="仿宋" w:eastAsia="仿宋"/>
                <w:kern w:val="0"/>
                <w:sz w:val="32"/>
                <w:szCs w:val="32"/>
              </w:rPr>
            </w:pPr>
            <w:r>
              <w:rPr>
                <w:rFonts w:hint="eastAsia" w:ascii="仿宋" w:hAnsi="仿宋" w:eastAsia="仿宋"/>
                <w:kern w:val="0"/>
                <w:sz w:val="32"/>
                <w:szCs w:val="32"/>
              </w:rPr>
              <w:t>日期：    年   月   日</w:t>
            </w:r>
          </w:p>
        </w:tc>
      </w:tr>
    </w:tbl>
    <w:p>
      <w:pPr>
        <w:spacing w:line="360" w:lineRule="auto"/>
        <w:rPr>
          <w:rFonts w:ascii="仿宋" w:hAnsi="仿宋" w:eastAsia="仿宋"/>
          <w:color w:val="auto"/>
          <w:kern w:val="0"/>
          <w:sz w:val="32"/>
          <w:szCs w:val="32"/>
        </w:rPr>
      </w:pPr>
    </w:p>
    <w:p>
      <w:pPr>
        <w:snapToGrid w:val="0"/>
        <w:ind w:firstLine="560" w:firstLineChars="200"/>
        <w:rPr>
          <w:rFonts w:ascii="仿宋" w:hAnsi="仿宋" w:eastAsia="仿宋" w:cs="仿宋"/>
          <w:sz w:val="28"/>
          <w:szCs w:val="28"/>
        </w:rPr>
      </w:pPr>
    </w:p>
    <w:p>
      <w:pPr>
        <w:pStyle w:val="4"/>
        <w:jc w:val="center"/>
        <w:outlineLvl w:val="9"/>
        <w:rPr>
          <w:rFonts w:asciiTheme="majorEastAsia" w:hAnsiTheme="majorEastAsia" w:eastAsiaTheme="majorEastAsia"/>
          <w:b w:val="0"/>
          <w:color w:val="auto"/>
          <w:sz w:val="24"/>
          <w:szCs w:val="24"/>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B5D3F42-6CF9-4216-9402-6A23A544F0F2}"/>
  </w:font>
  <w:font w:name="黑体">
    <w:panose1 w:val="02010609060101010101"/>
    <w:charset w:val="86"/>
    <w:family w:val="auto"/>
    <w:pitch w:val="default"/>
    <w:sig w:usb0="800002BF" w:usb1="38CF7CFA" w:usb2="00000016" w:usb3="00000000" w:csb0="00040001" w:csb1="00000000"/>
    <w:embedRegular r:id="rId2" w:fontKey="{B06B6E7E-A108-4213-B705-E08C7E2B35C2}"/>
  </w:font>
  <w:font w:name="Courier New">
    <w:panose1 w:val="02070309020205020404"/>
    <w:charset w:val="01"/>
    <w:family w:val="modern"/>
    <w:pitch w:val="default"/>
    <w:sig w:usb0="E0002AFF" w:usb1="C0007843" w:usb2="00000009" w:usb3="00000000" w:csb0="400001FF" w:csb1="FFFF0000"/>
    <w:embedRegular r:id="rId3" w:fontKey="{6FD676AC-691B-49A5-8879-C3962C13ADB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ADC7328B-46F0-4EAB-B71F-52C2A073B9B2}"/>
  </w:font>
  <w:font w:name="方正小标宋简体">
    <w:panose1 w:val="03000509000000000000"/>
    <w:charset w:val="86"/>
    <w:family w:val="script"/>
    <w:pitch w:val="default"/>
    <w:sig w:usb0="00000001" w:usb1="080E0000" w:usb2="00000000" w:usb3="00000000" w:csb0="00040000" w:csb1="00000000"/>
    <w:embedRegular r:id="rId5" w:fontKey="{0259C4DE-1904-4974-92D8-C37146011FD9}"/>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088875"/>
    <w:multiLevelType w:val="singleLevel"/>
    <w:tmpl w:val="C9088875"/>
    <w:lvl w:ilvl="0" w:tentative="0">
      <w:start w:val="2"/>
      <w:numFmt w:val="decimal"/>
      <w:lvlText w:val="%1."/>
      <w:lvlJc w:val="left"/>
      <w:pPr>
        <w:tabs>
          <w:tab w:val="left" w:pos="312"/>
        </w:tabs>
      </w:pPr>
    </w:lvl>
  </w:abstractNum>
  <w:abstractNum w:abstractNumId="1">
    <w:nsid w:val="E1461EE3"/>
    <w:multiLevelType w:val="singleLevel"/>
    <w:tmpl w:val="E1461EE3"/>
    <w:lvl w:ilvl="0" w:tentative="0">
      <w:start w:val="1"/>
      <w:numFmt w:val="decimal"/>
      <w:lvlText w:val="%1."/>
      <w:lvlJc w:val="left"/>
      <w:pPr>
        <w:tabs>
          <w:tab w:val="left" w:pos="312"/>
        </w:tabs>
      </w:pPr>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F72AEC"/>
    <w:rsid w:val="03342D85"/>
    <w:rsid w:val="038D79B7"/>
    <w:rsid w:val="047D1B6E"/>
    <w:rsid w:val="04BF260B"/>
    <w:rsid w:val="060914B4"/>
    <w:rsid w:val="060A7F0C"/>
    <w:rsid w:val="06E72E78"/>
    <w:rsid w:val="07462294"/>
    <w:rsid w:val="095D7F5D"/>
    <w:rsid w:val="09D744B4"/>
    <w:rsid w:val="0A107177"/>
    <w:rsid w:val="0B4453CD"/>
    <w:rsid w:val="0B952ADC"/>
    <w:rsid w:val="0BB95CBE"/>
    <w:rsid w:val="0C453A64"/>
    <w:rsid w:val="0D4E1EA3"/>
    <w:rsid w:val="0D664E43"/>
    <w:rsid w:val="0DBB266A"/>
    <w:rsid w:val="0DD036B5"/>
    <w:rsid w:val="0E4E6357"/>
    <w:rsid w:val="0E524011"/>
    <w:rsid w:val="0FC85F3C"/>
    <w:rsid w:val="10030D22"/>
    <w:rsid w:val="106F0560"/>
    <w:rsid w:val="10E54153"/>
    <w:rsid w:val="114F7185"/>
    <w:rsid w:val="1213761F"/>
    <w:rsid w:val="14755F67"/>
    <w:rsid w:val="14E5401B"/>
    <w:rsid w:val="15A57173"/>
    <w:rsid w:val="163D0D06"/>
    <w:rsid w:val="167364D6"/>
    <w:rsid w:val="167A1613"/>
    <w:rsid w:val="188718D8"/>
    <w:rsid w:val="189015C1"/>
    <w:rsid w:val="19B17A41"/>
    <w:rsid w:val="19B72B7E"/>
    <w:rsid w:val="1A6B5E42"/>
    <w:rsid w:val="1BC872C4"/>
    <w:rsid w:val="1C057BD0"/>
    <w:rsid w:val="1C5B5A42"/>
    <w:rsid w:val="1D602818"/>
    <w:rsid w:val="1D734FDD"/>
    <w:rsid w:val="1F1330A4"/>
    <w:rsid w:val="1FE65F6B"/>
    <w:rsid w:val="20817E50"/>
    <w:rsid w:val="220D5A31"/>
    <w:rsid w:val="22BB36DF"/>
    <w:rsid w:val="22CA56D0"/>
    <w:rsid w:val="23FD207E"/>
    <w:rsid w:val="241430A6"/>
    <w:rsid w:val="24D36535"/>
    <w:rsid w:val="25775188"/>
    <w:rsid w:val="272C4BAB"/>
    <w:rsid w:val="272E7F82"/>
    <w:rsid w:val="27515CDC"/>
    <w:rsid w:val="280E605F"/>
    <w:rsid w:val="2B7E34FB"/>
    <w:rsid w:val="2BA61F9C"/>
    <w:rsid w:val="2BB81936"/>
    <w:rsid w:val="2D0839C4"/>
    <w:rsid w:val="2D3C23FE"/>
    <w:rsid w:val="2E76670C"/>
    <w:rsid w:val="2EB16F5A"/>
    <w:rsid w:val="2F4E016F"/>
    <w:rsid w:val="2FA85F14"/>
    <w:rsid w:val="2FCB33F0"/>
    <w:rsid w:val="31360F6B"/>
    <w:rsid w:val="32A47CEB"/>
    <w:rsid w:val="332A03DF"/>
    <w:rsid w:val="33641268"/>
    <w:rsid w:val="338813BB"/>
    <w:rsid w:val="33A15FD9"/>
    <w:rsid w:val="340C0F9D"/>
    <w:rsid w:val="343706EB"/>
    <w:rsid w:val="347F60F0"/>
    <w:rsid w:val="35353F14"/>
    <w:rsid w:val="35415CC5"/>
    <w:rsid w:val="356E2833"/>
    <w:rsid w:val="358F5DF9"/>
    <w:rsid w:val="37240250"/>
    <w:rsid w:val="37AC4521"/>
    <w:rsid w:val="38593326"/>
    <w:rsid w:val="39F552D0"/>
    <w:rsid w:val="3BD771D7"/>
    <w:rsid w:val="3D931088"/>
    <w:rsid w:val="3DE17339"/>
    <w:rsid w:val="3DE22C35"/>
    <w:rsid w:val="3E646B18"/>
    <w:rsid w:val="3EC2015A"/>
    <w:rsid w:val="3F5D00D8"/>
    <w:rsid w:val="3F7C0431"/>
    <w:rsid w:val="3FA8698D"/>
    <w:rsid w:val="3FFD2EB8"/>
    <w:rsid w:val="40B94D77"/>
    <w:rsid w:val="411B434D"/>
    <w:rsid w:val="42595F30"/>
    <w:rsid w:val="42BD5522"/>
    <w:rsid w:val="430F3A6E"/>
    <w:rsid w:val="43340C18"/>
    <w:rsid w:val="435412BA"/>
    <w:rsid w:val="439E6E16"/>
    <w:rsid w:val="43A47936"/>
    <w:rsid w:val="448C54BB"/>
    <w:rsid w:val="44A4066B"/>
    <w:rsid w:val="4512577F"/>
    <w:rsid w:val="453C0257"/>
    <w:rsid w:val="47751B21"/>
    <w:rsid w:val="47887B38"/>
    <w:rsid w:val="48C875BA"/>
    <w:rsid w:val="49115557"/>
    <w:rsid w:val="4A8F5981"/>
    <w:rsid w:val="4C3A6B73"/>
    <w:rsid w:val="4DFD6E89"/>
    <w:rsid w:val="4E2D2E33"/>
    <w:rsid w:val="4F5F0DCA"/>
    <w:rsid w:val="4FF9082B"/>
    <w:rsid w:val="503A35E5"/>
    <w:rsid w:val="50EE68AA"/>
    <w:rsid w:val="515063E7"/>
    <w:rsid w:val="52770955"/>
    <w:rsid w:val="53095C1D"/>
    <w:rsid w:val="535B23F4"/>
    <w:rsid w:val="553E1482"/>
    <w:rsid w:val="55AF1596"/>
    <w:rsid w:val="55E2493E"/>
    <w:rsid w:val="56BC6B02"/>
    <w:rsid w:val="577675F9"/>
    <w:rsid w:val="59576FB6"/>
    <w:rsid w:val="597E09E7"/>
    <w:rsid w:val="59B7586F"/>
    <w:rsid w:val="5A861E4C"/>
    <w:rsid w:val="5B57504B"/>
    <w:rsid w:val="5B7F45A2"/>
    <w:rsid w:val="5C711A3B"/>
    <w:rsid w:val="5C7D2BB8"/>
    <w:rsid w:val="5DD80DC3"/>
    <w:rsid w:val="5E5925BD"/>
    <w:rsid w:val="5E5F4EE4"/>
    <w:rsid w:val="5E693A13"/>
    <w:rsid w:val="5E9B6682"/>
    <w:rsid w:val="5EC11A00"/>
    <w:rsid w:val="5F180F96"/>
    <w:rsid w:val="5F822615"/>
    <w:rsid w:val="60F14539"/>
    <w:rsid w:val="611D46BE"/>
    <w:rsid w:val="61994610"/>
    <w:rsid w:val="635C141B"/>
    <w:rsid w:val="64746C6E"/>
    <w:rsid w:val="64A84B6A"/>
    <w:rsid w:val="653B572C"/>
    <w:rsid w:val="65586590"/>
    <w:rsid w:val="66965720"/>
    <w:rsid w:val="67680CC1"/>
    <w:rsid w:val="678E6299"/>
    <w:rsid w:val="6840387F"/>
    <w:rsid w:val="68E454D3"/>
    <w:rsid w:val="69F34AD9"/>
    <w:rsid w:val="6AAC36BF"/>
    <w:rsid w:val="6AD00B8F"/>
    <w:rsid w:val="6B340066"/>
    <w:rsid w:val="6C2C6080"/>
    <w:rsid w:val="6C501A07"/>
    <w:rsid w:val="6F9603E0"/>
    <w:rsid w:val="6FC07433"/>
    <w:rsid w:val="70090BB2"/>
    <w:rsid w:val="709C5FB1"/>
    <w:rsid w:val="719170B1"/>
    <w:rsid w:val="71B64AE3"/>
    <w:rsid w:val="71BD19EB"/>
    <w:rsid w:val="721D203F"/>
    <w:rsid w:val="72361A07"/>
    <w:rsid w:val="727A5D97"/>
    <w:rsid w:val="72820D88"/>
    <w:rsid w:val="73075151"/>
    <w:rsid w:val="73DC213A"/>
    <w:rsid w:val="746A6B1A"/>
    <w:rsid w:val="75206F1D"/>
    <w:rsid w:val="7578360E"/>
    <w:rsid w:val="75B23186"/>
    <w:rsid w:val="76C515AB"/>
    <w:rsid w:val="778154D2"/>
    <w:rsid w:val="77D93692"/>
    <w:rsid w:val="77FB34A5"/>
    <w:rsid w:val="79C30143"/>
    <w:rsid w:val="7A98194F"/>
    <w:rsid w:val="7B5E3716"/>
    <w:rsid w:val="7BA81A06"/>
    <w:rsid w:val="7BC77C70"/>
    <w:rsid w:val="7C190257"/>
    <w:rsid w:val="7C9E6B26"/>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65"/>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Calibri" w:hAnsi="Calibri"/>
      <w:szCs w:val="20"/>
    </w:rPr>
  </w:style>
  <w:style w:type="paragraph" w:styleId="6">
    <w:name w:val="table of authorities"/>
    <w:basedOn w:val="1"/>
    <w:next w:val="1"/>
    <w:unhideWhenUsed/>
    <w:qFormat/>
    <w:uiPriority w:val="99"/>
    <w:pPr>
      <w:ind w:left="420" w:leftChars="200"/>
    </w:pPr>
  </w:style>
  <w:style w:type="paragraph" w:styleId="7">
    <w:name w:val="annotation text"/>
    <w:basedOn w:val="1"/>
    <w:semiHidden/>
    <w:unhideWhenUsed/>
    <w:qFormat/>
    <w:uiPriority w:val="99"/>
    <w:pPr>
      <w:jc w:val="left"/>
    </w:pPr>
  </w:style>
  <w:style w:type="paragraph" w:styleId="8">
    <w:name w:val="Body Text"/>
    <w:basedOn w:val="1"/>
    <w:next w:val="9"/>
    <w:link w:val="66"/>
    <w:unhideWhenUsed/>
    <w:qFormat/>
    <w:uiPriority w:val="99"/>
    <w:pPr>
      <w:spacing w:after="120"/>
    </w:pPr>
  </w:style>
  <w:style w:type="paragraph" w:customStyle="1" w:styleId="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10">
    <w:name w:val="Body Text Indent"/>
    <w:basedOn w:val="1"/>
    <w:link w:val="63"/>
    <w:qFormat/>
    <w:uiPriority w:val="0"/>
    <w:pPr>
      <w:ind w:firstLine="830" w:firstLineChars="352"/>
    </w:pPr>
    <w:rPr>
      <w:rFonts w:ascii="仿宋_GB2312" w:eastAsia="仿宋_GB2312"/>
      <w:sz w:val="32"/>
      <w:szCs w:val="20"/>
    </w:rPr>
  </w:style>
  <w:style w:type="paragraph" w:styleId="11">
    <w:name w:val="Plain Text"/>
    <w:basedOn w:val="1"/>
    <w:next w:val="5"/>
    <w:link w:val="62"/>
    <w:qFormat/>
    <w:uiPriority w:val="0"/>
    <w:rPr>
      <w:rFonts w:ascii="宋体" w:hAnsi="Courier New" w:cs="Courier New"/>
      <w:szCs w:val="21"/>
    </w:rPr>
  </w:style>
  <w:style w:type="paragraph" w:styleId="12">
    <w:name w:val="Balloon Text"/>
    <w:basedOn w:val="1"/>
    <w:link w:val="60"/>
    <w:semiHidden/>
    <w:unhideWhenUsed/>
    <w:qFormat/>
    <w:uiPriority w:val="99"/>
    <w:rPr>
      <w:sz w:val="18"/>
      <w:szCs w:val="18"/>
    </w:rPr>
  </w:style>
  <w:style w:type="paragraph" w:styleId="13">
    <w:name w:val="footer"/>
    <w:basedOn w:val="1"/>
    <w:link w:val="25"/>
    <w:unhideWhenUsed/>
    <w:qFormat/>
    <w:uiPriority w:val="99"/>
    <w:pPr>
      <w:tabs>
        <w:tab w:val="center" w:pos="4153"/>
        <w:tab w:val="right" w:pos="8306"/>
      </w:tabs>
      <w:snapToGrid w:val="0"/>
      <w:jc w:val="left"/>
    </w:pPr>
    <w:rPr>
      <w:sz w:val="18"/>
      <w:szCs w:val="18"/>
    </w:rPr>
  </w:style>
  <w:style w:type="paragraph" w:styleId="14">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able of figures"/>
    <w:basedOn w:val="1"/>
    <w:next w:val="1"/>
    <w:unhideWhenUsed/>
    <w:qFormat/>
    <w:uiPriority w:val="0"/>
    <w:pPr>
      <w:ind w:left="200" w:leftChars="200" w:hanging="200" w:hangingChars="200"/>
    </w:pPr>
    <w:rPr>
      <w:sz w:val="28"/>
    </w:rPr>
  </w:style>
  <w:style w:type="paragraph" w:styleId="17">
    <w:name w:val="Body Text First Indent"/>
    <w:basedOn w:val="8"/>
    <w:link w:val="67"/>
    <w:semiHidden/>
    <w:unhideWhenUsed/>
    <w:qFormat/>
    <w:uiPriority w:val="99"/>
    <w:pPr>
      <w:ind w:firstLine="420" w:firstLineChars="100"/>
    </w:pPr>
  </w:style>
  <w:style w:type="table" w:styleId="19">
    <w:name w:val="Table Grid"/>
    <w:basedOn w:val="1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1">
    <w:name w:val="page number"/>
    <w:qFormat/>
    <w:uiPriority w:val="0"/>
    <w:rPr>
      <w:rFonts w:ascii="Times New Roman" w:hAnsi="Times New Roman" w:eastAsia="宋体" w:cs="Times New Roman"/>
    </w:rPr>
  </w:style>
  <w:style w:type="character" w:styleId="22">
    <w:name w:val="FollowedHyperlink"/>
    <w:basedOn w:val="20"/>
    <w:semiHidden/>
    <w:unhideWhenUsed/>
    <w:qFormat/>
    <w:uiPriority w:val="99"/>
    <w:rPr>
      <w:color w:val="800080"/>
      <w:u w:val="single"/>
    </w:rPr>
  </w:style>
  <w:style w:type="character" w:styleId="23">
    <w:name w:val="Hyperlink"/>
    <w:basedOn w:val="20"/>
    <w:semiHidden/>
    <w:unhideWhenUsed/>
    <w:qFormat/>
    <w:uiPriority w:val="99"/>
    <w:rPr>
      <w:color w:val="0000FF"/>
      <w:u w:val="single"/>
    </w:rPr>
  </w:style>
  <w:style w:type="character" w:customStyle="1" w:styleId="24">
    <w:name w:val="页眉 Char"/>
    <w:basedOn w:val="20"/>
    <w:link w:val="14"/>
    <w:qFormat/>
    <w:uiPriority w:val="99"/>
    <w:rPr>
      <w:sz w:val="18"/>
      <w:szCs w:val="18"/>
    </w:rPr>
  </w:style>
  <w:style w:type="character" w:customStyle="1" w:styleId="25">
    <w:name w:val="页脚 Char"/>
    <w:basedOn w:val="20"/>
    <w:link w:val="13"/>
    <w:qFormat/>
    <w:uiPriority w:val="99"/>
    <w:rPr>
      <w:sz w:val="18"/>
      <w:szCs w:val="18"/>
    </w:rPr>
  </w:style>
  <w:style w:type="paragraph" w:customStyle="1" w:styleId="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1">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8">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0">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4">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7">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9">
    <w:name w:val="List Paragraph"/>
    <w:basedOn w:val="1"/>
    <w:qFormat/>
    <w:uiPriority w:val="34"/>
    <w:pPr>
      <w:ind w:firstLine="420" w:firstLineChars="200"/>
    </w:pPr>
  </w:style>
  <w:style w:type="character" w:customStyle="1" w:styleId="60">
    <w:name w:val="批注框文本 Char"/>
    <w:basedOn w:val="20"/>
    <w:link w:val="12"/>
    <w:semiHidden/>
    <w:qFormat/>
    <w:uiPriority w:val="99"/>
    <w:rPr>
      <w:rFonts w:ascii="Times New Roman" w:hAnsi="Times New Roman" w:eastAsia="宋体" w:cs="Times New Roman"/>
      <w:sz w:val="18"/>
      <w:szCs w:val="18"/>
    </w:rPr>
  </w:style>
  <w:style w:type="character" w:customStyle="1" w:styleId="61">
    <w:name w:val="纯文本 Char"/>
    <w:basedOn w:val="20"/>
    <w:qFormat/>
    <w:uiPriority w:val="0"/>
    <w:rPr>
      <w:rFonts w:ascii="宋体" w:hAnsi="Courier New" w:eastAsia="宋体" w:cs="Courier New"/>
      <w:szCs w:val="21"/>
    </w:rPr>
  </w:style>
  <w:style w:type="character" w:customStyle="1" w:styleId="62">
    <w:name w:val="纯文本 Char1"/>
    <w:basedOn w:val="20"/>
    <w:link w:val="11"/>
    <w:qFormat/>
    <w:uiPriority w:val="0"/>
    <w:rPr>
      <w:rFonts w:ascii="宋体" w:hAnsi="Courier New" w:eastAsia="宋体" w:cs="Courier New"/>
      <w:szCs w:val="21"/>
    </w:rPr>
  </w:style>
  <w:style w:type="character" w:customStyle="1" w:styleId="63">
    <w:name w:val="正文文本缩进 Char"/>
    <w:basedOn w:val="20"/>
    <w:link w:val="10"/>
    <w:qFormat/>
    <w:uiPriority w:val="0"/>
    <w:rPr>
      <w:rFonts w:ascii="仿宋_GB2312" w:hAnsi="Times New Roman" w:eastAsia="仿宋_GB2312" w:cs="Times New Roman"/>
      <w:sz w:val="32"/>
      <w:szCs w:val="20"/>
    </w:rPr>
  </w:style>
  <w:style w:type="character" w:customStyle="1" w:styleId="64">
    <w:name w:val="标题 2 Char"/>
    <w:basedOn w:val="20"/>
    <w:semiHidden/>
    <w:qFormat/>
    <w:uiPriority w:val="9"/>
    <w:rPr>
      <w:rFonts w:asciiTheme="majorHAnsi" w:hAnsiTheme="majorHAnsi" w:eastAsiaTheme="majorEastAsia" w:cstheme="majorBidi"/>
      <w:b/>
      <w:bCs/>
      <w:sz w:val="32"/>
      <w:szCs w:val="32"/>
    </w:rPr>
  </w:style>
  <w:style w:type="character" w:customStyle="1" w:styleId="65">
    <w:name w:val="标题 2 Char1"/>
    <w:basedOn w:val="20"/>
    <w:link w:val="4"/>
    <w:qFormat/>
    <w:uiPriority w:val="9"/>
    <w:rPr>
      <w:rFonts w:ascii="Cambria" w:hAnsi="Cambria" w:eastAsia="宋体" w:cs="Times New Roman"/>
      <w:b/>
      <w:bCs/>
      <w:sz w:val="32"/>
      <w:szCs w:val="32"/>
    </w:rPr>
  </w:style>
  <w:style w:type="character" w:customStyle="1" w:styleId="66">
    <w:name w:val="正文文本 Char"/>
    <w:basedOn w:val="20"/>
    <w:link w:val="8"/>
    <w:qFormat/>
    <w:uiPriority w:val="99"/>
    <w:rPr>
      <w:rFonts w:ascii="Times New Roman" w:hAnsi="Times New Roman" w:eastAsia="宋体" w:cs="Times New Roman"/>
      <w:szCs w:val="24"/>
    </w:rPr>
  </w:style>
  <w:style w:type="character" w:customStyle="1" w:styleId="67">
    <w:name w:val="正文首行缩进 Char"/>
    <w:basedOn w:val="66"/>
    <w:link w:val="17"/>
    <w:semiHidden/>
    <w:qFormat/>
    <w:uiPriority w:val="99"/>
    <w:rPr>
      <w:rFonts w:ascii="Times New Roman" w:hAnsi="Times New Roman" w:eastAsia="宋体" w:cs="Times New Roman"/>
      <w:szCs w:val="24"/>
    </w:rPr>
  </w:style>
  <w:style w:type="paragraph" w:customStyle="1" w:styleId="6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9">
    <w:name w:val="正文内容 Char"/>
    <w:link w:val="70"/>
    <w:qFormat/>
    <w:uiPriority w:val="5"/>
    <w:rPr>
      <w:rFonts w:ascii="Times New Roman" w:hAnsi="Times New Roman"/>
      <w:sz w:val="24"/>
      <w:szCs w:val="24"/>
    </w:rPr>
  </w:style>
  <w:style w:type="paragraph" w:customStyle="1" w:styleId="70">
    <w:name w:val="正文内容"/>
    <w:basedOn w:val="1"/>
    <w:link w:val="69"/>
    <w:qFormat/>
    <w:uiPriority w:val="5"/>
    <w:pPr>
      <w:adjustRightInd w:val="0"/>
      <w:spacing w:line="360" w:lineRule="auto"/>
      <w:ind w:firstLine="200" w:firstLineChars="200"/>
    </w:pPr>
    <w:rPr>
      <w:rFonts w:eastAsiaTheme="minorEastAsia" w:cstheme="minorBidi"/>
      <w:sz w:val="24"/>
    </w:rPr>
  </w:style>
  <w:style w:type="paragraph" w:customStyle="1" w:styleId="71">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7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文本 21"/>
    <w:basedOn w:val="1"/>
    <w:qFormat/>
    <w:uiPriority w:val="0"/>
    <w:pPr>
      <w:spacing w:after="120" w:line="480" w:lineRule="auto"/>
    </w:pPr>
  </w:style>
  <w:style w:type="paragraph" w:customStyle="1" w:styleId="7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55B3F-DF38-4A2C-B04F-B2B3756A44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6687</Words>
  <Characters>6973</Characters>
  <Lines>44</Lines>
  <Paragraphs>12</Paragraphs>
  <TotalTime>9</TotalTime>
  <ScaleCrop>false</ScaleCrop>
  <LinksUpToDate>false</LinksUpToDate>
  <CharactersWithSpaces>8147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XIAOYANGYO(≧▽≦)~</cp:lastModifiedBy>
  <cp:lastPrinted>2021-11-08T03:25:00Z</cp:lastPrinted>
  <dcterms:modified xsi:type="dcterms:W3CDTF">2023-11-15T03:26:50Z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SaveFontToCloudKey">
    <vt:lpwstr>958527779_btnclosed</vt:lpwstr>
  </property>
  <property fmtid="{D5CDD505-2E9C-101B-9397-08002B2CF9AE}" pid="4" name="ICV">
    <vt:lpwstr>E856BC52A9A54C579C44238FD7B852DF</vt:lpwstr>
  </property>
</Properties>
</file>