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1"/>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6" cstate="print"/>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jc w:val="center"/>
        <w:rPr>
          <w:rFonts w:ascii="黑体" w:hAnsi="宋体" w:eastAsia="黑体"/>
          <w:sz w:val="84"/>
          <w:szCs w:val="84"/>
        </w:rPr>
      </w:pPr>
    </w:p>
    <w:p>
      <w:pPr>
        <w:pStyle w:val="11"/>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1"/>
        <w:spacing w:line="500" w:lineRule="exact"/>
        <w:jc w:val="center"/>
        <w:rPr>
          <w:rFonts w:hAnsi="宋体"/>
        </w:rPr>
      </w:pPr>
    </w:p>
    <w:p>
      <w:pPr>
        <w:pStyle w:val="11"/>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spacing w:line="900" w:lineRule="exact"/>
        <w:ind w:left="1866" w:leftChars="200" w:hanging="1446" w:hangingChars="400"/>
        <w:rPr>
          <w:rFonts w:ascii="仿宋" w:hAnsi="仿宋" w:eastAsia="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w:t>
      </w:r>
      <w:r>
        <w:rPr>
          <w:rFonts w:ascii="仿宋" w:hAnsi="仿宋" w:eastAsia="仿宋" w:cs="仿宋"/>
          <w:kern w:val="0"/>
          <w:sz w:val="36"/>
          <w:szCs w:val="36"/>
          <w:u w:val="single"/>
        </w:rPr>
        <w:t xml:space="preserve">   </w:t>
      </w:r>
      <w:r>
        <w:rPr>
          <w:rFonts w:hint="eastAsia" w:ascii="仿宋" w:hAnsi="仿宋" w:eastAsia="仿宋" w:cs="仿宋"/>
          <w:kern w:val="0"/>
          <w:sz w:val="36"/>
          <w:szCs w:val="36"/>
          <w:u w:val="single"/>
        </w:rPr>
        <w:t xml:space="preserve">采购校园“一卡通”实体卡片项目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2023年</w:t>
      </w:r>
      <w:r>
        <w:rPr>
          <w:rFonts w:hint="eastAsia" w:ascii="仿宋" w:hAnsi="仿宋" w:eastAsia="仿宋" w:cs="仿宋"/>
          <w:sz w:val="36"/>
          <w:szCs w:val="36"/>
          <w:u w:val="single"/>
          <w:lang w:val="en-US" w:eastAsia="zh-CN"/>
        </w:rPr>
        <w:t>8</w:t>
      </w:r>
      <w:r>
        <w:rPr>
          <w:rFonts w:hint="eastAsia" w:ascii="仿宋" w:hAnsi="仿宋" w:eastAsia="仿宋" w:cs="仿宋"/>
          <w:sz w:val="36"/>
          <w:szCs w:val="36"/>
          <w:u w:val="single"/>
        </w:rPr>
        <w:t xml:space="preserve">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sz w:val="32"/>
              <w:szCs w:val="32"/>
            </w:rPr>
          </w:pPr>
          <w:r>
            <w:rPr>
              <w:rFonts w:hint="eastAsia" w:ascii="宋体" w:hAnsi="宋体" w:cs="宋体"/>
              <w:sz w:val="32"/>
              <w:szCs w:val="32"/>
            </w:rPr>
            <w:t>目录</w:t>
          </w:r>
        </w:p>
        <w:p>
          <w:pPr>
            <w:pStyle w:val="74"/>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10</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3"/>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3"/>
        <w:ind w:firstLine="2800" w:firstLineChars="700"/>
        <w:jc w:val="left"/>
        <w:rPr>
          <w:b w:val="0"/>
          <w:bCs/>
          <w:sz w:val="40"/>
          <w:szCs w:val="22"/>
        </w:rPr>
      </w:pPr>
      <w:r>
        <w:rPr>
          <w:rFonts w:hint="eastAsia"/>
          <w:b w:val="0"/>
          <w:bCs/>
          <w:sz w:val="40"/>
          <w:szCs w:val="22"/>
        </w:rPr>
        <w:t>第一章 项目公告</w:t>
      </w:r>
      <w:bookmarkEnd w:id="1"/>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广西工商职业技术学院采购校园“一卡通”实体卡片项目</w:t>
      </w:r>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采购公告</w:t>
      </w:r>
      <w:r>
        <w:rPr>
          <w:rFonts w:asciiTheme="majorEastAsia" w:hAnsiTheme="majorEastAsia" w:eastAsiaTheme="majorEastAsia" w:cstheme="minorBidi"/>
          <w:b/>
          <w:sz w:val="36"/>
          <w:szCs w:val="36"/>
        </w:rPr>
        <w:t xml:space="preserve">  </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广西工商职业技术学院采购校园“一卡通”实体卡片项目。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预算为￥90,000.00元（人民币玖万元整）。</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asciiTheme="minorEastAsia" w:hAnsiTheme="minorEastAsia" w:eastAsiaTheme="minorEastAsia" w:cstheme="minorBidi"/>
          <w:sz w:val="28"/>
          <w:szCs w:val="28"/>
        </w:rPr>
        <w:t>广西工商职业技术学院采购校园“一卡通”实体卡片项目</w:t>
      </w:r>
      <w:r>
        <w:rPr>
          <w:rFonts w:hint="eastAsia" w:cs="Arial" w:asciiTheme="minorEastAsia" w:hAnsiTheme="minorEastAsia" w:eastAsiaTheme="minorEastAsia"/>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，具备独立法人资格，有能力承接本项目内容并经工商行政部门登记年审合格的企业。</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法人授权委托书、委托代理人身份证（复印件盖公章）。以上所有材料均需加盖公章，否则视为资料不齐，报名无效。同时备注好项目联系人及联系方式。</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采购校园“一卡通”实体卡片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21</w:t>
      </w:r>
      <w:r>
        <w:rPr>
          <w:rFonts w:hint="eastAsia" w:asciiTheme="minorEastAsia" w:hAnsiTheme="minorEastAsia" w:eastAsiaTheme="minorEastAsia" w:cstheme="minorBidi"/>
          <w:sz w:val="28"/>
          <w:szCs w:val="28"/>
        </w:rPr>
        <w:t>日至2023年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24</w:t>
      </w:r>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（二）统一现场报名及递交材料时间：2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24</w:t>
      </w:r>
      <w:r>
        <w:rPr>
          <w:rFonts w:hint="eastAsia" w:asciiTheme="minorEastAsia" w:hAnsiTheme="minorEastAsia" w:eastAsiaTheme="minorEastAsia" w:cstheme="minorBidi"/>
          <w:sz w:val="28"/>
          <w:szCs w:val="28"/>
        </w:rPr>
        <w:t>日</w:t>
      </w:r>
      <w:r>
        <w:rPr>
          <w:rFonts w:hint="eastAsia" w:asciiTheme="minorEastAsia" w:hAnsiTheme="minorEastAsia" w:eastAsiaTheme="minorEastAsia" w:cstheme="minorBidi"/>
          <w:sz w:val="28"/>
          <w:szCs w:val="28"/>
          <w:lang w:eastAsia="zh-CN"/>
        </w:rPr>
        <w:t>上</w:t>
      </w:r>
      <w:r>
        <w:rPr>
          <w:rFonts w:hint="eastAsia" w:asciiTheme="minorEastAsia" w:hAnsiTheme="minorEastAsia" w:eastAsiaTheme="minorEastAsia" w:cstheme="minorBidi"/>
          <w:sz w:val="28"/>
          <w:szCs w:val="28"/>
        </w:rPr>
        <w:t>午</w:t>
      </w:r>
      <w:r>
        <w:rPr>
          <w:rFonts w:hint="eastAsia" w:asciiTheme="minorEastAsia" w:hAnsiTheme="minorEastAsia" w:eastAsiaTheme="minorEastAsia" w:cstheme="minorBidi"/>
          <w:sz w:val="28"/>
          <w:szCs w:val="28"/>
          <w:lang w:val="en-US" w:eastAsia="zh-CN"/>
        </w:rPr>
        <w:t>9</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0—</w:t>
      </w:r>
      <w:r>
        <w:rPr>
          <w:rFonts w:asciiTheme="minorEastAsia" w:hAnsiTheme="minorEastAsia" w:eastAsiaTheme="minorEastAsia" w:cstheme="minorBidi"/>
          <w:sz w:val="28"/>
          <w:szCs w:val="28"/>
        </w:rPr>
        <w:t xml:space="preserve"> </w:t>
      </w:r>
      <w:r>
        <w:rPr>
          <w:rFonts w:hint="eastAsia" w:asciiTheme="minorEastAsia" w:hAnsiTheme="minorEastAsia" w:eastAsiaTheme="minorEastAsia" w:cstheme="minorBidi"/>
          <w:sz w:val="28"/>
          <w:szCs w:val="28"/>
          <w:lang w:val="en-US" w:eastAsia="zh-CN"/>
        </w:rPr>
        <w:t>11</w:t>
      </w:r>
      <w:r>
        <w:rPr>
          <w:rFonts w:hint="eastAsia" w:asciiTheme="minorEastAsia" w:hAnsiTheme="minorEastAsia" w:eastAsiaTheme="minorEastAsia" w:cstheme="minorBidi"/>
          <w:sz w:val="28"/>
          <w:szCs w:val="28"/>
        </w:rPr>
        <w:t>：</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0，逾期不再接收报名。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附件:广西工商职业技术学院采购校园“一卡通”实体卡片项目询价通知书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21</w:t>
      </w:r>
      <w:bookmarkStart w:id="17" w:name="_GoBack"/>
      <w:bookmarkEnd w:id="17"/>
      <w:r>
        <w:rPr>
          <w:rFonts w:hint="eastAsia" w:asciiTheme="minorEastAsia" w:hAnsiTheme="minorEastAsia" w:eastAsiaTheme="minorEastAsia" w:cstheme="minorBidi"/>
          <w:sz w:val="28"/>
          <w:szCs w:val="28"/>
        </w:rPr>
        <w:t>日</w:t>
      </w:r>
    </w:p>
    <w:p>
      <w:pPr>
        <w:pStyle w:val="3"/>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pStyle w:val="2"/>
      </w:pP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089"/>
        <w:gridCol w:w="779"/>
        <w:gridCol w:w="5316"/>
        <w:gridCol w:w="709"/>
        <w:gridCol w:w="850"/>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★一、项目需求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pPr>
              <w:spacing w:line="540" w:lineRule="exact"/>
              <w:jc w:val="center"/>
              <w:rPr>
                <w:rFonts w:ascii="宋体" w:hAnsi="宋体" w:cs="宋体"/>
                <w:b/>
                <w:szCs w:val="21"/>
              </w:rPr>
            </w:pPr>
            <w:r>
              <w:rPr>
                <w:rFonts w:hint="eastAsia" w:ascii="宋体" w:hAnsi="宋体" w:cs="宋体"/>
                <w:b/>
                <w:szCs w:val="21"/>
              </w:rPr>
              <w:t>序号</w:t>
            </w:r>
          </w:p>
        </w:tc>
        <w:tc>
          <w:tcPr>
            <w:tcW w:w="1089" w:type="dxa"/>
            <w:vAlign w:val="center"/>
          </w:tcPr>
          <w:p>
            <w:pPr>
              <w:spacing w:line="540" w:lineRule="exact"/>
              <w:jc w:val="center"/>
              <w:rPr>
                <w:rFonts w:ascii="宋体" w:hAnsi="宋体" w:cs="宋体"/>
                <w:b/>
                <w:szCs w:val="21"/>
              </w:rPr>
            </w:pPr>
            <w:r>
              <w:rPr>
                <w:rFonts w:hint="eastAsia" w:ascii="宋体" w:hAnsi="宋体" w:cs="宋体"/>
                <w:b/>
                <w:szCs w:val="21"/>
              </w:rPr>
              <w:t>名称</w:t>
            </w:r>
          </w:p>
        </w:tc>
        <w:tc>
          <w:tcPr>
            <w:tcW w:w="6095" w:type="dxa"/>
            <w:gridSpan w:val="2"/>
            <w:vAlign w:val="center"/>
          </w:tcPr>
          <w:p>
            <w:pPr>
              <w:spacing w:line="540" w:lineRule="exact"/>
              <w:jc w:val="center"/>
              <w:rPr>
                <w:rFonts w:ascii="宋体" w:hAnsi="宋体" w:cs="宋体"/>
                <w:b/>
                <w:szCs w:val="21"/>
              </w:rPr>
            </w:pPr>
            <w:r>
              <w:rPr>
                <w:rFonts w:hint="eastAsia" w:ascii="宋体" w:hAnsi="宋体" w:cs="宋体"/>
                <w:b/>
                <w:szCs w:val="21"/>
              </w:rPr>
              <w:t>技术参数要求</w:t>
            </w:r>
          </w:p>
        </w:tc>
        <w:tc>
          <w:tcPr>
            <w:tcW w:w="709" w:type="dxa"/>
            <w:vAlign w:val="center"/>
          </w:tcPr>
          <w:p>
            <w:pPr>
              <w:spacing w:line="540" w:lineRule="exact"/>
              <w:jc w:val="center"/>
              <w:rPr>
                <w:rFonts w:ascii="宋体" w:hAnsi="宋体" w:cs="宋体"/>
                <w:b/>
                <w:szCs w:val="21"/>
              </w:rPr>
            </w:pPr>
            <w:r>
              <w:rPr>
                <w:rFonts w:hint="eastAsia" w:ascii="宋体" w:hAnsi="宋体" w:cs="宋体"/>
                <w:b/>
                <w:szCs w:val="21"/>
              </w:rPr>
              <w:t>计量</w:t>
            </w:r>
          </w:p>
          <w:p>
            <w:pPr>
              <w:spacing w:line="540" w:lineRule="exact"/>
              <w:jc w:val="center"/>
              <w:rPr>
                <w:rFonts w:ascii="宋体" w:hAnsi="宋体" w:cs="宋体"/>
                <w:b/>
                <w:szCs w:val="21"/>
              </w:rPr>
            </w:pPr>
            <w:r>
              <w:rPr>
                <w:rFonts w:hint="eastAsia" w:ascii="宋体" w:hAnsi="宋体" w:cs="宋体"/>
                <w:b/>
                <w:szCs w:val="21"/>
              </w:rPr>
              <w:t>单位</w:t>
            </w:r>
          </w:p>
        </w:tc>
        <w:tc>
          <w:tcPr>
            <w:tcW w:w="850" w:type="dxa"/>
            <w:vAlign w:val="center"/>
          </w:tcPr>
          <w:p>
            <w:pPr>
              <w:spacing w:line="540" w:lineRule="exact"/>
              <w:jc w:val="center"/>
              <w:rPr>
                <w:rFonts w:ascii="宋体" w:hAnsi="宋体" w:cs="宋体"/>
                <w:b/>
                <w:szCs w:val="21"/>
              </w:rPr>
            </w:pPr>
            <w:r>
              <w:rPr>
                <w:rFonts w:hint="eastAsia" w:ascii="宋体" w:hAnsi="宋体" w:cs="宋体"/>
                <w:b/>
                <w:szCs w:val="21"/>
              </w:rPr>
              <w:t>数量</w:t>
            </w:r>
          </w:p>
        </w:tc>
        <w:tc>
          <w:tcPr>
            <w:tcW w:w="668" w:type="dxa"/>
            <w:vAlign w:val="center"/>
          </w:tcPr>
          <w:p>
            <w:pPr>
              <w:spacing w:line="540" w:lineRule="exact"/>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466" w:type="dxa"/>
            <w:vAlign w:val="center"/>
          </w:tcPr>
          <w:p>
            <w:pPr>
              <w:jc w:val="left"/>
              <w:rPr>
                <w:szCs w:val="21"/>
              </w:rPr>
            </w:pPr>
            <w:r>
              <w:rPr>
                <w:rFonts w:hint="eastAsia"/>
                <w:szCs w:val="21"/>
              </w:rPr>
              <w:t>1</w:t>
            </w:r>
          </w:p>
        </w:tc>
        <w:tc>
          <w:tcPr>
            <w:tcW w:w="1089" w:type="dxa"/>
            <w:vAlign w:val="center"/>
          </w:tcPr>
          <w:p>
            <w:pPr>
              <w:spacing w:line="276" w:lineRule="auto"/>
              <w:jc w:val="left"/>
              <w:rPr>
                <w:rFonts w:ascii="仿宋" w:hAnsi="仿宋" w:eastAsia="仿宋" w:cs="宋体"/>
                <w:bCs/>
                <w:color w:val="000000"/>
                <w:kern w:val="0"/>
                <w:szCs w:val="21"/>
              </w:rPr>
            </w:pPr>
            <w:r>
              <w:rPr>
                <w:rFonts w:hint="eastAsia" w:ascii="仿宋" w:hAnsi="仿宋" w:eastAsia="仿宋" w:cs="宋体"/>
                <w:bCs/>
                <w:color w:val="000000"/>
                <w:kern w:val="0"/>
                <w:szCs w:val="21"/>
              </w:rPr>
              <w:t>校园“一卡通”实体卡</w:t>
            </w:r>
          </w:p>
        </w:tc>
        <w:tc>
          <w:tcPr>
            <w:tcW w:w="6095" w:type="dxa"/>
            <w:gridSpan w:val="2"/>
            <w:vAlign w:val="center"/>
          </w:tcPr>
          <w:p>
            <w:pPr>
              <w:spacing w:line="276" w:lineRule="auto"/>
              <w:rPr>
                <w:rFonts w:ascii="仿宋" w:hAnsi="仿宋" w:eastAsia="仿宋" w:cs="宋体"/>
                <w:b/>
                <w:bCs/>
                <w:color w:val="000000"/>
                <w:kern w:val="0"/>
                <w:szCs w:val="21"/>
              </w:rPr>
            </w:pPr>
            <w:r>
              <w:rPr>
                <w:rFonts w:hint="eastAsia" w:ascii="仿宋" w:hAnsi="仿宋" w:eastAsia="仿宋" w:cs="宋体"/>
                <w:b/>
                <w:bCs/>
                <w:color w:val="000000"/>
                <w:kern w:val="0"/>
                <w:szCs w:val="21"/>
              </w:rPr>
              <w:t>主要特点：</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通信协议:ISO 14443-A MCU</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指令兼容 8051</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 xml:space="preserve">支持 106Kbps 数据传输速率 </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Triple-DES 协处理器</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程序存储器 32K x 8bit ROM</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数据存储器 8Kx 8bit EEPROM</w:t>
            </w:r>
          </w:p>
          <w:p>
            <w:pPr>
              <w:spacing w:line="276" w:lineRule="auto"/>
              <w:rPr>
                <w:rFonts w:ascii="仿宋" w:hAnsi="仿宋" w:eastAsia="仿宋" w:cs="宋体"/>
                <w:bCs/>
                <w:color w:val="000000"/>
                <w:kern w:val="0"/>
                <w:szCs w:val="21"/>
              </w:rPr>
            </w:pPr>
            <w:r>
              <w:rPr>
                <w:rFonts w:ascii="仿宋" w:hAnsi="仿宋" w:eastAsia="仿宋" w:cs="宋体"/>
                <w:bCs/>
                <w:color w:val="000000"/>
                <w:kern w:val="0"/>
                <w:szCs w:val="21"/>
              </w:rPr>
              <w:t>256 x 8bit iRAM</w:t>
            </w:r>
          </w:p>
          <w:p>
            <w:pPr>
              <w:spacing w:line="276" w:lineRule="auto"/>
              <w:rPr>
                <w:rFonts w:ascii="仿宋" w:hAnsi="仿宋" w:eastAsia="仿宋" w:cs="宋体"/>
                <w:bCs/>
                <w:color w:val="000000"/>
                <w:kern w:val="0"/>
                <w:szCs w:val="21"/>
              </w:rPr>
            </w:pPr>
            <w:r>
              <w:rPr>
                <w:rFonts w:ascii="仿宋" w:hAnsi="仿宋" w:eastAsia="仿宋" w:cs="宋体"/>
                <w:bCs/>
                <w:color w:val="000000"/>
                <w:kern w:val="0"/>
                <w:szCs w:val="21"/>
              </w:rPr>
              <w:t>384 x 8bit xRAM</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低压检测复位高低频检测复位</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 xml:space="preserve">EEPROM 满足 10 万次擦写指标 </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EEPROM 满足 10 年数据保存指标</w:t>
            </w:r>
          </w:p>
          <w:p>
            <w:pPr>
              <w:spacing w:line="276" w:lineRule="auto"/>
              <w:rPr>
                <w:rFonts w:ascii="仿宋" w:hAnsi="仿宋" w:eastAsia="仿宋" w:cs="宋体"/>
                <w:b/>
                <w:bCs/>
                <w:color w:val="000000"/>
                <w:kern w:val="0"/>
                <w:szCs w:val="21"/>
              </w:rPr>
            </w:pPr>
            <w:r>
              <w:rPr>
                <w:rFonts w:hint="eastAsia" w:ascii="仿宋" w:hAnsi="仿宋" w:eastAsia="仿宋" w:cs="宋体"/>
                <w:b/>
                <w:bCs/>
                <w:color w:val="000000"/>
                <w:kern w:val="0"/>
                <w:szCs w:val="21"/>
              </w:rPr>
              <w:t>安全性:</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FM1208 的安全机制为:</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有反电源分析模块</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有高低频检测复位模块，芯片工作频率超出检测范围自动复位</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ROM 反逆向提取，存储器数据加密</w:t>
            </w:r>
          </w:p>
          <w:p>
            <w:pPr>
              <w:spacing w:line="276" w:lineRule="auto"/>
              <w:rPr>
                <w:rFonts w:ascii="仿宋" w:hAnsi="仿宋" w:eastAsia="仿宋" w:cs="宋体"/>
                <w:b/>
                <w:bCs/>
                <w:color w:val="000000"/>
                <w:kern w:val="0"/>
                <w:szCs w:val="21"/>
              </w:rPr>
            </w:pPr>
            <w:r>
              <w:rPr>
                <w:rFonts w:hint="eastAsia" w:ascii="仿宋" w:hAnsi="仿宋" w:eastAsia="仿宋" w:cs="宋体"/>
                <w:b/>
                <w:bCs/>
                <w:color w:val="000000"/>
                <w:kern w:val="0"/>
                <w:szCs w:val="21"/>
              </w:rPr>
              <w:t>详细参数：</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存储容量：8k byte</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工作频率：13.56MHZ</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通讯速度：106Kboud</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读写距离：2.5-10CM</w:t>
            </w:r>
          </w:p>
          <w:p>
            <w:pPr>
              <w:spacing w:line="276" w:lineRule="auto"/>
              <w:rPr>
                <w:rFonts w:ascii="仿宋" w:hAnsi="仿宋" w:eastAsia="仿宋" w:cs="宋体"/>
                <w:b/>
                <w:bCs/>
                <w:color w:val="000000"/>
                <w:kern w:val="0"/>
                <w:szCs w:val="21"/>
              </w:rPr>
            </w:pPr>
            <w:r>
              <w:rPr>
                <w:rFonts w:hint="eastAsia" w:ascii="仿宋" w:hAnsi="仿宋" w:eastAsia="仿宋" w:cs="宋体"/>
                <w:b/>
                <w:bCs/>
                <w:color w:val="000000"/>
                <w:kern w:val="0"/>
                <w:szCs w:val="21"/>
              </w:rPr>
              <w:t>物理特性：</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产品尺寸：85.5*54*0.97mm</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所用物料：PFT 铜线 芯片</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封装工艺：超声波自动植线/自动碰焊</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制作标准：ISO 14443 ISO Type A标准</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产品重量：0.006g/PCS</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使用环境：</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工作温度：-20°℃-100°℃</w:t>
            </w:r>
          </w:p>
          <w:p>
            <w:pPr>
              <w:spacing w:line="276" w:lineRule="auto"/>
              <w:rPr>
                <w:rFonts w:ascii="仿宋" w:hAnsi="仿宋" w:eastAsia="仿宋" w:cs="宋体"/>
                <w:b/>
                <w:bCs/>
                <w:color w:val="000000"/>
                <w:kern w:val="0"/>
                <w:szCs w:val="21"/>
              </w:rPr>
            </w:pPr>
            <w:r>
              <w:rPr>
                <w:rFonts w:hint="eastAsia" w:ascii="仿宋" w:hAnsi="仿宋" w:eastAsia="仿宋" w:cs="宋体"/>
                <w:b/>
                <w:bCs/>
                <w:color w:val="000000"/>
                <w:kern w:val="0"/>
                <w:szCs w:val="21"/>
              </w:rPr>
              <w:t>其他需求：</w:t>
            </w:r>
          </w:p>
          <w:p>
            <w:pPr>
              <w:spacing w:line="276" w:lineRule="auto"/>
              <w:rPr>
                <w:rFonts w:ascii="仿宋" w:hAnsi="仿宋" w:eastAsia="仿宋" w:cs="宋体"/>
                <w:bCs/>
                <w:color w:val="000000"/>
                <w:kern w:val="0"/>
                <w:szCs w:val="21"/>
              </w:rPr>
            </w:pPr>
            <w:r>
              <w:rPr>
                <w:rFonts w:hint="eastAsia" w:ascii="仿宋" w:hAnsi="仿宋" w:eastAsia="仿宋" w:cs="宋体"/>
                <w:bCs/>
                <w:color w:val="000000"/>
                <w:kern w:val="0"/>
                <w:szCs w:val="21"/>
              </w:rPr>
              <w:t>卡面根据业主需求定制</w:t>
            </w:r>
          </w:p>
          <w:p>
            <w:pPr>
              <w:spacing w:line="276" w:lineRule="auto"/>
              <w:jc w:val="left"/>
              <w:rPr>
                <w:rFonts w:ascii="宋体" w:hAnsi="宋体" w:cs="宋体"/>
                <w:b/>
                <w:sz w:val="28"/>
                <w:szCs w:val="28"/>
              </w:rPr>
            </w:pPr>
            <w:r>
              <w:rPr>
                <w:rFonts w:hint="eastAsia" w:ascii="仿宋" w:hAnsi="仿宋" w:eastAsia="仿宋" w:cs="宋体"/>
                <w:bCs/>
                <w:color w:val="000000"/>
                <w:kern w:val="0"/>
                <w:szCs w:val="21"/>
              </w:rPr>
              <w:t>可现实校园一卡通食堂消费、智慧公寓开门等应用</w:t>
            </w:r>
          </w:p>
        </w:tc>
        <w:tc>
          <w:tcPr>
            <w:tcW w:w="709" w:type="dxa"/>
            <w:vAlign w:val="center"/>
          </w:tcPr>
          <w:p>
            <w:pPr>
              <w:jc w:val="left"/>
              <w:rPr>
                <w:szCs w:val="21"/>
              </w:rPr>
            </w:pPr>
            <w:r>
              <w:rPr>
                <w:rFonts w:hint="eastAsia"/>
                <w:szCs w:val="21"/>
              </w:rPr>
              <w:t>张</w:t>
            </w:r>
          </w:p>
        </w:tc>
        <w:tc>
          <w:tcPr>
            <w:tcW w:w="850" w:type="dxa"/>
            <w:vAlign w:val="center"/>
          </w:tcPr>
          <w:p>
            <w:pPr>
              <w:jc w:val="left"/>
              <w:rPr>
                <w:szCs w:val="21"/>
                <w:highlight w:val="red"/>
              </w:rPr>
            </w:pPr>
            <w:r>
              <w:rPr>
                <w:szCs w:val="21"/>
              </w:rPr>
              <w:t>10000</w:t>
            </w:r>
          </w:p>
        </w:tc>
        <w:tc>
          <w:tcPr>
            <w:tcW w:w="668" w:type="dxa"/>
            <w:vAlign w:val="center"/>
          </w:tcPr>
          <w:p>
            <w:pPr>
              <w:spacing w:line="540" w:lineRule="exact"/>
              <w:jc w:val="left"/>
              <w:rPr>
                <w:rFonts w:ascii="宋体" w:hAnsi="宋体" w:cs="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7"/>
            <w:vAlign w:val="center"/>
          </w:tcPr>
          <w:p>
            <w:pPr>
              <w:spacing w:line="540" w:lineRule="exact"/>
              <w:jc w:val="left"/>
              <w:rPr>
                <w:rFonts w:ascii="宋体" w:hAnsi="宋体" w:cs="宋体"/>
                <w:b/>
                <w:sz w:val="28"/>
                <w:szCs w:val="28"/>
              </w:rPr>
            </w:pPr>
            <w:r>
              <w:rPr>
                <w:rFonts w:hint="eastAsia" w:ascii="宋体" w:hAnsi="宋体" w:cs="宋体"/>
                <w:b/>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1、交付时间地点</w:t>
            </w:r>
          </w:p>
        </w:tc>
        <w:tc>
          <w:tcPr>
            <w:tcW w:w="7543" w:type="dxa"/>
            <w:gridSpan w:val="4"/>
            <w:vAlign w:val="center"/>
          </w:tcPr>
          <w:p>
            <w:pPr>
              <w:jc w:val="left"/>
              <w:rPr>
                <w:szCs w:val="21"/>
              </w:rPr>
            </w:pPr>
            <w:r>
              <w:rPr>
                <w:rFonts w:hint="eastAsia"/>
                <w:szCs w:val="21"/>
              </w:rPr>
              <w:t>交付时间：自合同签订之日起</w:t>
            </w:r>
            <w:r>
              <w:rPr>
                <w:szCs w:val="21"/>
                <w:highlight w:val="yellow"/>
              </w:rPr>
              <w:t>10</w:t>
            </w:r>
            <w:r>
              <w:rPr>
                <w:rFonts w:hint="eastAsia"/>
                <w:szCs w:val="21"/>
                <w:highlight w:val="yellow"/>
              </w:rPr>
              <w:t>日</w:t>
            </w:r>
            <w:r>
              <w:rPr>
                <w:rFonts w:hint="eastAsia"/>
                <w:szCs w:val="21"/>
              </w:rPr>
              <w:t>内。</w:t>
            </w:r>
          </w:p>
          <w:p>
            <w:pPr>
              <w:jc w:val="left"/>
              <w:rPr>
                <w:szCs w:val="21"/>
              </w:rPr>
            </w:pPr>
            <w:r>
              <w:rPr>
                <w:rFonts w:hint="eastAsia"/>
                <w:szCs w:val="21"/>
              </w:rPr>
              <w:t>交货地点：采购人指定地点。(广西工商职业技术学院鹏飞校区)。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3"/>
            <w:vAlign w:val="center"/>
          </w:tcPr>
          <w:p>
            <w:pPr>
              <w:jc w:val="left"/>
              <w:rPr>
                <w:b/>
                <w:bCs/>
                <w:szCs w:val="21"/>
              </w:rPr>
            </w:pPr>
            <w:r>
              <w:rPr>
                <w:rFonts w:hint="eastAsia"/>
                <w:b/>
                <w:bCs/>
                <w:szCs w:val="21"/>
              </w:rPr>
              <w:t>2、售后服务及保险</w:t>
            </w:r>
          </w:p>
        </w:tc>
        <w:tc>
          <w:tcPr>
            <w:tcW w:w="7543" w:type="dxa"/>
            <w:gridSpan w:val="4"/>
            <w:vAlign w:val="center"/>
          </w:tcPr>
          <w:p>
            <w:pPr>
              <w:jc w:val="left"/>
              <w:rPr>
                <w:szCs w:val="21"/>
              </w:rPr>
            </w:pPr>
            <w:r>
              <w:rPr>
                <w:rFonts w:hint="eastAsia"/>
                <w:szCs w:val="21"/>
              </w:rPr>
              <w:t xml:space="preserve">成交供应商应按国家有关规定及厂家承诺实行“三包”，要求免费送货上门、免费安装调试至验收合格。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34" w:type="dxa"/>
            <w:gridSpan w:val="3"/>
            <w:vAlign w:val="center"/>
          </w:tcPr>
          <w:p>
            <w:pPr>
              <w:jc w:val="left"/>
              <w:rPr>
                <w:b/>
                <w:bCs/>
                <w:szCs w:val="21"/>
              </w:rPr>
            </w:pPr>
            <w:r>
              <w:rPr>
                <w:rFonts w:hint="eastAsia"/>
                <w:b/>
                <w:bCs/>
                <w:szCs w:val="21"/>
              </w:rPr>
              <w:t>3、付款条件</w:t>
            </w:r>
          </w:p>
        </w:tc>
        <w:tc>
          <w:tcPr>
            <w:tcW w:w="7543" w:type="dxa"/>
            <w:gridSpan w:val="4"/>
            <w:vAlign w:val="center"/>
          </w:tcPr>
          <w:p>
            <w:pPr>
              <w:jc w:val="left"/>
            </w:pPr>
            <w:r>
              <w:rPr>
                <w:rFonts w:hint="eastAsia"/>
              </w:rPr>
              <w:t>验收合格后，</w:t>
            </w:r>
            <w:r>
              <w:rPr>
                <w:rFonts w:hint="eastAsia"/>
                <w:szCs w:val="21"/>
              </w:rPr>
              <w:t>采购人</w:t>
            </w:r>
            <w:r>
              <w:rPr>
                <w:rFonts w:hint="eastAsia"/>
              </w:rPr>
              <w:t>在</w:t>
            </w:r>
            <w:r>
              <w:rPr>
                <w:highlight w:val="yellow"/>
              </w:rPr>
              <w:t>10</w:t>
            </w:r>
            <w:r>
              <w:rPr>
                <w:rFonts w:hint="eastAsia"/>
                <w:highlight w:val="yellow"/>
              </w:rPr>
              <w:t>个</w:t>
            </w:r>
            <w:r>
              <w:rPr>
                <w:highlight w:val="yellow"/>
              </w:rPr>
              <w:t>工</w:t>
            </w:r>
            <w:r>
              <w:t>作日</w:t>
            </w:r>
            <w:r>
              <w:rPr>
                <w:rFonts w:hint="eastAsia"/>
              </w:rPr>
              <w:t>内支付合同款金额100%给</w:t>
            </w:r>
            <w:r>
              <w:rPr>
                <w:rFonts w:hint="eastAsia"/>
                <w:szCs w:val="21"/>
              </w:rPr>
              <w:t>成交供应商</w:t>
            </w:r>
            <w:r>
              <w:rPr>
                <w:rFonts w:hint="eastAsia"/>
              </w:rPr>
              <w:t>（</w:t>
            </w:r>
            <w:r>
              <w:rPr>
                <w:rFonts w:hint="eastAsia"/>
                <w:szCs w:val="21"/>
              </w:rPr>
              <w:t>成交供应商</w:t>
            </w:r>
            <w:r>
              <w:rPr>
                <w:rFonts w:hint="eastAsia"/>
              </w:rPr>
              <w:t>需开具合法有效发票给采购人）。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334" w:type="dxa"/>
            <w:gridSpan w:val="3"/>
            <w:vAlign w:val="center"/>
          </w:tcPr>
          <w:p>
            <w:pPr>
              <w:jc w:val="left"/>
              <w:rPr>
                <w:b/>
                <w:bCs/>
                <w:szCs w:val="21"/>
              </w:rPr>
            </w:pPr>
            <w:r>
              <w:rPr>
                <w:rFonts w:hint="eastAsia"/>
                <w:b/>
                <w:bCs/>
                <w:szCs w:val="21"/>
              </w:rPr>
              <w:t>4、包装和运输</w:t>
            </w:r>
          </w:p>
        </w:tc>
        <w:tc>
          <w:tcPr>
            <w:tcW w:w="7543" w:type="dxa"/>
            <w:gridSpan w:val="4"/>
            <w:vAlign w:val="center"/>
          </w:tcPr>
          <w:p>
            <w:pPr>
              <w:jc w:val="left"/>
              <w:rPr>
                <w:szCs w:val="21"/>
              </w:rPr>
            </w:pPr>
            <w:r>
              <w:rPr>
                <w:rFonts w:hint="eastAsia"/>
                <w:szCs w:val="21"/>
              </w:rPr>
              <w:t>成交供应商妥善包装，合理安排运输工具，避免在搬运和运输中损伤货物。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5、履约验收要求</w:t>
            </w:r>
          </w:p>
        </w:tc>
        <w:tc>
          <w:tcPr>
            <w:tcW w:w="7543" w:type="dxa"/>
            <w:gridSpan w:val="4"/>
            <w:vAlign w:val="center"/>
          </w:tcPr>
          <w:p>
            <w:pPr>
              <w:jc w:val="left"/>
              <w:rPr>
                <w:szCs w:val="21"/>
              </w:rPr>
            </w:pPr>
            <w:r>
              <w:rPr>
                <w:rFonts w:hint="eastAsia"/>
                <w:szCs w:val="21"/>
              </w:rPr>
              <w:t>采购方将严格按照采购文件要求进行验收。验收不合格的，成交供应商需承担被采购人终止合同的一切风险和费用。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3"/>
            <w:vAlign w:val="center"/>
          </w:tcPr>
          <w:p>
            <w:pPr>
              <w:jc w:val="left"/>
              <w:rPr>
                <w:b/>
                <w:bCs/>
                <w:szCs w:val="21"/>
              </w:rPr>
            </w:pPr>
            <w:r>
              <w:rPr>
                <w:rFonts w:hint="eastAsia"/>
                <w:b/>
                <w:bCs/>
                <w:szCs w:val="21"/>
              </w:rPr>
              <w:t>6、报价要求</w:t>
            </w:r>
          </w:p>
        </w:tc>
        <w:tc>
          <w:tcPr>
            <w:tcW w:w="7543" w:type="dxa"/>
            <w:gridSpan w:val="4"/>
            <w:vAlign w:val="center"/>
          </w:tcPr>
          <w:p>
            <w:pPr>
              <w:jc w:val="left"/>
              <w:rPr>
                <w:szCs w:val="21"/>
              </w:rPr>
            </w:pPr>
            <w:r>
              <w:rPr>
                <w:rFonts w:hint="eastAsia"/>
                <w:szCs w:val="21"/>
              </w:rPr>
              <w:t>1、成交供应商保证向采购人提供的货物是全新、完整、未使用过的。</w:t>
            </w:r>
          </w:p>
          <w:p>
            <w:pPr>
              <w:jc w:val="left"/>
              <w:rPr>
                <w:szCs w:val="21"/>
              </w:rPr>
            </w:pPr>
            <w:r>
              <w:rPr>
                <w:rFonts w:hint="eastAsia"/>
                <w:szCs w:val="21"/>
              </w:rPr>
              <w:t>2、竞标报价为采购人指定地点的现场交货价，包括：</w:t>
            </w:r>
          </w:p>
          <w:p>
            <w:pPr>
              <w:jc w:val="left"/>
              <w:rPr>
                <w:szCs w:val="21"/>
              </w:rPr>
            </w:pPr>
            <w:r>
              <w:rPr>
                <w:rFonts w:hint="eastAsia"/>
                <w:szCs w:val="21"/>
              </w:rPr>
              <w:t>（1）货物的价格：包括货款、杂配件、安装调试费、验收费、系统集成费及后端系统联调费等；</w:t>
            </w:r>
          </w:p>
          <w:p>
            <w:pPr>
              <w:jc w:val="left"/>
              <w:rPr>
                <w:szCs w:val="21"/>
              </w:rPr>
            </w:pPr>
            <w:r>
              <w:rPr>
                <w:rFonts w:hint="eastAsia"/>
                <w:szCs w:val="21"/>
              </w:rPr>
              <w:t>（2）货物的标准附件、备品备件、专用工具的价格；</w:t>
            </w:r>
          </w:p>
          <w:p>
            <w:pPr>
              <w:jc w:val="left"/>
              <w:rPr>
                <w:szCs w:val="21"/>
              </w:rPr>
            </w:pPr>
            <w:r>
              <w:rPr>
                <w:rFonts w:hint="eastAsia"/>
                <w:szCs w:val="21"/>
              </w:rPr>
              <w:t>（3）运输、装卸、垃圾清理搬运、调试、培训、技术支持、售后服务费；</w:t>
            </w:r>
          </w:p>
          <w:p>
            <w:pPr>
              <w:jc w:val="left"/>
              <w:rPr>
                <w:szCs w:val="21"/>
              </w:rPr>
            </w:pPr>
            <w:r>
              <w:rPr>
                <w:rFonts w:hint="eastAsia"/>
                <w:szCs w:val="21"/>
              </w:rPr>
              <w:t>（4）招标代理服务费、必要的保险费和各项税金；</w:t>
            </w:r>
          </w:p>
          <w:p>
            <w:pPr>
              <w:jc w:val="left"/>
              <w:rPr>
                <w:szCs w:val="21"/>
              </w:rPr>
            </w:pPr>
            <w:r>
              <w:rPr>
                <w:rFonts w:hint="eastAsia"/>
                <w:szCs w:val="21"/>
              </w:rPr>
              <w:t xml:space="preserve">（5）采购人项目验收如需聘请第三方参与共同验收的，成交人须承担全部验收费用。 </w:t>
            </w:r>
          </w:p>
          <w:p>
            <w:pPr>
              <w:jc w:val="left"/>
              <w:rPr>
                <w:szCs w:val="21"/>
              </w:rPr>
            </w:pPr>
            <w:r>
              <w:rPr>
                <w:rFonts w:hint="eastAsia"/>
                <w:szCs w:val="21"/>
              </w:rPr>
              <w:t>3、请严格按照报价清单每一项一一列举报价，如有漏项则作废处理。</w:t>
            </w:r>
          </w:p>
        </w:tc>
      </w:tr>
    </w:tbl>
    <w:p>
      <w:pPr>
        <w:widowControl/>
        <w:spacing w:line="280" w:lineRule="exact"/>
        <w:ind w:firstLine="560" w:firstLineChars="200"/>
        <w:jc w:val="left"/>
        <w:rPr>
          <w:rFonts w:ascii="宋体" w:hAnsi="宋体" w:cs="宋体"/>
          <w:sz w:val="28"/>
          <w:szCs w:val="28"/>
        </w:rPr>
        <w:sectPr>
          <w:pgSz w:w="11906" w:h="16838"/>
          <w:pgMar w:top="1440" w:right="1080" w:bottom="1440" w:left="1080" w:header="851" w:footer="992" w:gutter="0"/>
          <w:cols w:space="425" w:num="1"/>
          <w:docGrid w:type="lines" w:linePitch="312" w:charSpace="0"/>
        </w:sectPr>
      </w:pPr>
    </w:p>
    <w:p>
      <w:pPr>
        <w:pStyle w:val="3"/>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3"/>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Cs/>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3.法定代表人身份证正、反面复印件；（附件三）[</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4.法定代表人授权委托书原件和委托代理人身份证正、反面复印件；（附件四） [</w:t>
      </w:r>
      <w:r>
        <w:rPr>
          <w:rFonts w:hint="eastAsia" w:ascii="宋体" w:hAnsi="宋体" w:cs="宋体"/>
          <w:b/>
          <w:bCs/>
          <w:sz w:val="24"/>
          <w:highlight w:val="yellow"/>
        </w:rPr>
        <w:t>委托代理时必须提供</w:t>
      </w:r>
      <w:r>
        <w:rPr>
          <w:rFonts w:hint="eastAsia" w:ascii="宋体" w:hAnsi="宋体" w:cs="宋体"/>
          <w:b/>
          <w:bCs/>
          <w:sz w:val="24"/>
        </w:rPr>
        <w:t xml:space="preserve">]；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b/>
          <w:bCs/>
          <w:sz w:val="24"/>
        </w:rPr>
      </w:pPr>
      <w:r>
        <w:rPr>
          <w:rFonts w:hint="eastAsia" w:ascii="宋体" w:hAnsi="宋体" w:cs="宋体"/>
          <w:sz w:val="24"/>
        </w:rPr>
        <w:t>①参加采购活动前三年内在经营活动中没有重大违法记录和不良信用记录的书面声明；</w:t>
      </w:r>
      <w:r>
        <w:rPr>
          <w:rFonts w:hint="eastAsia" w:ascii="宋体" w:hAnsi="宋体" w:cs="宋体"/>
          <w:b/>
          <w:bCs/>
          <w:sz w:val="24"/>
        </w:rPr>
        <w:t>[</w:t>
      </w:r>
      <w:r>
        <w:rPr>
          <w:rFonts w:hint="eastAsia" w:ascii="宋体" w:hAnsi="宋体" w:cs="宋体"/>
          <w:b/>
          <w:bCs/>
          <w:sz w:val="24"/>
          <w:highlight w:val="yellow"/>
        </w:rPr>
        <w:t>格式自拟，必须提供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③在中国政府采购网（http://www.ccgp.gov.cn/）未纳入政府采购严重违法失信行为记录名单查询记录截图复印件加盖公章；</w:t>
      </w:r>
      <w:r>
        <w:rPr>
          <w:rFonts w:hint="eastAsia" w:ascii="宋体" w:hAnsi="宋体" w:cs="宋体"/>
          <w:b/>
          <w:bCs/>
          <w:sz w:val="24"/>
        </w:rPr>
        <w:t>[</w:t>
      </w:r>
      <w:r>
        <w:rPr>
          <w:rFonts w:hint="eastAsia" w:ascii="宋体" w:hAnsi="宋体" w:cs="宋体"/>
          <w:b/>
          <w:bCs/>
          <w:sz w:val="24"/>
          <w:highlight w:val="yellow"/>
        </w:rPr>
        <w:t>必须提供</w:t>
      </w:r>
      <w:r>
        <w:rPr>
          <w:rFonts w:hint="eastAsia" w:ascii="宋体" w:hAnsi="宋体" w:cs="宋体"/>
          <w:b/>
          <w:bCs/>
          <w:sz w:val="24"/>
        </w:rPr>
        <w:t>]</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报价表</w:t>
      </w:r>
    </w:p>
    <w:p>
      <w:pPr>
        <w:spacing w:line="360" w:lineRule="exact"/>
        <w:ind w:right="960"/>
        <w:rPr>
          <w:rFonts w:asciiTheme="majorEastAsia" w:hAnsiTheme="majorEastAsia" w:eastAsiaTheme="majorEastAsia"/>
          <w:b/>
          <w:sz w:val="32"/>
          <w:szCs w:val="32"/>
        </w:rPr>
      </w:pPr>
    </w:p>
    <w:p>
      <w:pPr>
        <w:spacing w:line="360" w:lineRule="auto"/>
        <w:jc w:val="center"/>
        <w:outlineLvl w:val="0"/>
        <w:rPr>
          <w:rFonts w:asciiTheme="minorEastAsia" w:hAnsiTheme="minorEastAsia" w:eastAsiaTheme="minorEastAsia"/>
          <w:b/>
          <w:sz w:val="28"/>
          <w:szCs w:val="30"/>
        </w:rPr>
      </w:pPr>
      <w:r>
        <w:rPr>
          <w:rFonts w:hint="eastAsia" w:asciiTheme="minorEastAsia" w:hAnsiTheme="minorEastAsia" w:eastAsiaTheme="minorEastAsia"/>
          <w:b/>
          <w:sz w:val="28"/>
          <w:szCs w:val="30"/>
        </w:rPr>
        <w:t xml:space="preserve"> </w:t>
      </w:r>
      <w:bookmarkStart w:id="7" w:name="_Toc10280"/>
      <w:r>
        <w:rPr>
          <w:rFonts w:asciiTheme="minorEastAsia" w:hAnsiTheme="minorEastAsia" w:eastAsiaTheme="minorEastAsia"/>
          <w:b/>
          <w:sz w:val="28"/>
          <w:szCs w:val="30"/>
        </w:rPr>
        <w:t xml:space="preserve"> </w:t>
      </w:r>
      <w:r>
        <w:rPr>
          <w:rFonts w:hint="eastAsia" w:asciiTheme="minorEastAsia" w:hAnsiTheme="minorEastAsia" w:eastAsiaTheme="minorEastAsia"/>
          <w:b/>
          <w:sz w:val="28"/>
          <w:szCs w:val="30"/>
        </w:rPr>
        <w:t>广西工商职业技术</w:t>
      </w:r>
      <w:bookmarkEnd w:id="7"/>
      <w:r>
        <w:rPr>
          <w:rFonts w:hint="eastAsia" w:asciiTheme="minorEastAsia" w:hAnsiTheme="minorEastAsia" w:eastAsiaTheme="minorEastAsia"/>
          <w:b/>
          <w:sz w:val="28"/>
          <w:szCs w:val="30"/>
        </w:rPr>
        <w:t>学院采购校园“一卡通”实体卡片项目</w:t>
      </w:r>
    </w:p>
    <w:tbl>
      <w:tblPr>
        <w:tblStyle w:val="17"/>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2"/>
        <w:gridCol w:w="2337"/>
        <w:gridCol w:w="1793"/>
        <w:gridCol w:w="819"/>
        <w:gridCol w:w="1450"/>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7"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供应商</w:t>
            </w:r>
          </w:p>
        </w:tc>
        <w:tc>
          <w:tcPr>
            <w:tcW w:w="494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4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法人代表</w:t>
            </w:r>
          </w:p>
        </w:tc>
        <w:tc>
          <w:tcPr>
            <w:tcW w:w="20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委托代理人</w:t>
            </w:r>
          </w:p>
        </w:tc>
        <w:tc>
          <w:tcPr>
            <w:tcW w:w="2337"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93" w:type="dxa"/>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ascii="宋体" w:hAnsi="宋体" w:cs="宋体"/>
                <w:sz w:val="24"/>
              </w:rPr>
            </w:pPr>
            <w:r>
              <w:rPr>
                <w:rFonts w:hint="eastAsia" w:ascii="宋体" w:hAnsi="宋体" w:cs="宋体"/>
                <w:sz w:val="24"/>
              </w:rPr>
              <w:t>联系方式</w:t>
            </w:r>
          </w:p>
        </w:tc>
        <w:tc>
          <w:tcPr>
            <w:tcW w:w="435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采购上控价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ascii="宋体" w:hAnsi="宋体" w:cs="宋体"/>
                <w:sz w:val="24"/>
              </w:rPr>
            </w:pPr>
            <w:r>
              <w:rPr>
                <w:rFonts w:hint="eastAsia" w:ascii="宋体" w:hAnsi="宋体" w:cs="宋体"/>
                <w:sz w:val="24"/>
              </w:rPr>
              <w:t>￥90,000.00元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项目需求</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24"/>
              </w:rPr>
            </w:pPr>
            <w:r>
              <w:rPr>
                <w:rFonts w:hint="eastAsia" w:ascii="宋体" w:hAnsi="宋体" w:cs="宋体"/>
                <w:sz w:val="24"/>
              </w:rPr>
              <w:t>广西工商职业技术学院采购校园“一卡通”实体卡片项目。</w:t>
            </w:r>
          </w:p>
          <w:p>
            <w:pPr>
              <w:jc w:val="left"/>
              <w:rPr>
                <w:rFonts w:ascii="宋体" w:hAnsi="宋体" w:cs="宋体"/>
                <w:sz w:val="24"/>
              </w:rPr>
            </w:pPr>
            <w:r>
              <w:rPr>
                <w:rFonts w:hint="eastAsia" w:ascii="宋体" w:hAnsi="宋体" w:cs="宋体"/>
                <w:sz w:val="24"/>
              </w:rPr>
              <w:t>具体参见第二章项目需求。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4" w:hRule="atLeast"/>
        </w:trPr>
        <w:tc>
          <w:tcPr>
            <w:tcW w:w="1582" w:type="dxa"/>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报    价</w:t>
            </w:r>
          </w:p>
        </w:tc>
        <w:tc>
          <w:tcPr>
            <w:tcW w:w="8483" w:type="dxa"/>
            <w:gridSpan w:val="5"/>
            <w:tcBorders>
              <w:top w:val="single" w:color="auto" w:sz="4" w:space="0"/>
              <w:left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总金额：￥</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w:t>
            </w:r>
          </w:p>
          <w:p>
            <w:pPr>
              <w:pStyle w:val="2"/>
            </w:pPr>
          </w:p>
          <w:p>
            <w:pPr>
              <w:rPr>
                <w:rFonts w:ascii="宋体" w:hAnsi="宋体" w:cs="宋体"/>
                <w:szCs w:val="21"/>
              </w:rPr>
            </w:pPr>
            <w:r>
              <w:rPr>
                <w:rFonts w:hint="eastAsia" w:ascii="宋体" w:hAnsi="宋体" w:cs="宋体"/>
                <w:szCs w:val="21"/>
              </w:rPr>
              <w:t>1、总报价为投标单位按照项目需求清单中列出的各项金额的总和，所有投标价均以人民币报价，投标报价中包含已按招标文件和合同条款中的设计、工程承包范围、质量要求、质量检查验收标准、工期等要求并充分考虑了人工、材料、机械、施工措施、运距大小、施工用水电、包装运输、施工、管理、质量检查、预留、预埋、试验、验收费用、利润、政府相关部门收取的一切费用及所有税费等因素计算了全部费用及风险，保证投标报价准确无误，如有错漏概由投标单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trPr>
        <w:tc>
          <w:tcPr>
            <w:tcW w:w="1582" w:type="dxa"/>
            <w:tcBorders>
              <w:top w:val="nil"/>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其他承诺</w:t>
            </w:r>
          </w:p>
        </w:tc>
        <w:tc>
          <w:tcPr>
            <w:tcW w:w="8483" w:type="dxa"/>
            <w:gridSpan w:val="5"/>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备   注</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sz w:val="24"/>
              </w:rPr>
            </w:pPr>
            <w:r>
              <w:rPr>
                <w:rFonts w:hint="eastAsia" w:ascii="宋体" w:hAnsi="宋体" w:cs="宋体"/>
                <w:sz w:val="24"/>
              </w:rPr>
              <w:t>项目采购预算已在本页“采购上控价”中列明，如竞标报价超过采购上控价的作磋商无效处理。</w:t>
            </w:r>
          </w:p>
        </w:tc>
      </w:tr>
    </w:tbl>
    <w:p>
      <w:pPr>
        <w:spacing w:line="500" w:lineRule="exact"/>
        <w:ind w:right="2918"/>
        <w:rPr>
          <w:rFonts w:ascii="宋体" w:hAnsi="宋体"/>
          <w:sz w:val="28"/>
          <w:szCs w:val="28"/>
        </w:rPr>
      </w:pPr>
    </w:p>
    <w:p>
      <w:pPr>
        <w:spacing w:line="276" w:lineRule="auto"/>
        <w:ind w:right="1518"/>
        <w:jc w:val="right"/>
        <w:rPr>
          <w:rFonts w:ascii="宋体" w:hAnsi="宋体"/>
          <w:sz w:val="28"/>
          <w:szCs w:val="28"/>
        </w:rPr>
      </w:pPr>
      <w:r>
        <w:rPr>
          <w:rFonts w:hint="eastAsia" w:ascii="宋体" w:hAnsi="宋体"/>
          <w:sz w:val="28"/>
          <w:szCs w:val="28"/>
        </w:rPr>
        <w:t>供应商（盖章）：</w:t>
      </w:r>
    </w:p>
    <w:p>
      <w:pPr>
        <w:spacing w:line="276" w:lineRule="auto"/>
        <w:ind w:right="1518"/>
        <w:jc w:val="right"/>
        <w:rPr>
          <w:rFonts w:ascii="宋体" w:hAnsi="宋体"/>
          <w:sz w:val="28"/>
          <w:szCs w:val="28"/>
        </w:rPr>
      </w:pPr>
      <w:r>
        <w:rPr>
          <w:rFonts w:hint="eastAsia" w:ascii="宋体" w:hAnsi="宋体"/>
          <w:sz w:val="28"/>
          <w:szCs w:val="28"/>
        </w:rPr>
        <w:t>委托代理人（签字）：</w:t>
      </w:r>
    </w:p>
    <w:p>
      <w:pPr>
        <w:spacing w:line="276" w:lineRule="auto"/>
        <w:ind w:right="1540"/>
        <w:jc w:val="right"/>
        <w:rPr>
          <w:rFonts w:ascii="宋体" w:hAnsi="宋体"/>
          <w:kern w:val="0"/>
          <w:sz w:val="28"/>
          <w:szCs w:val="28"/>
        </w:rPr>
      </w:pPr>
      <w:r>
        <w:rPr>
          <w:rFonts w:hint="eastAsia" w:ascii="宋体" w:hAnsi="宋体"/>
          <w:kern w:val="0"/>
          <w:sz w:val="28"/>
          <w:szCs w:val="28"/>
        </w:rPr>
        <w:t>联系方式：</w:t>
      </w:r>
    </w:p>
    <w:p>
      <w:pPr>
        <w:spacing w:line="276" w:lineRule="auto"/>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szCs w:val="21"/>
        </w:rPr>
      </w:pPr>
      <w:r>
        <w:rPr>
          <w:rFonts w:hint="eastAsia" w:ascii="宋体" w:hAnsi="宋体"/>
          <w:b/>
          <w:sz w:val="32"/>
          <w:szCs w:val="32"/>
        </w:rPr>
        <w:t>商务、服务响应、偏离情况说明表</w:t>
      </w: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pPr>
            <w:r>
              <w:rPr>
                <w:rFonts w:hint="eastAsia"/>
              </w:rPr>
              <w:t>序号</w:t>
            </w:r>
          </w:p>
        </w:tc>
        <w:tc>
          <w:tcPr>
            <w:tcW w:w="3013" w:type="dxa"/>
            <w:vAlign w:val="center"/>
          </w:tcPr>
          <w:p>
            <w:pPr>
              <w:jc w:val="center"/>
            </w:pPr>
            <w:r>
              <w:rPr>
                <w:rFonts w:hint="eastAsia"/>
              </w:rPr>
              <w:t>询价文件要求</w:t>
            </w:r>
          </w:p>
        </w:tc>
        <w:tc>
          <w:tcPr>
            <w:tcW w:w="3159" w:type="dxa"/>
            <w:vAlign w:val="center"/>
          </w:tcPr>
          <w:p>
            <w:pPr>
              <w:jc w:val="center"/>
            </w:pPr>
            <w:r>
              <w:rPr>
                <w:rFonts w:hint="eastAsia"/>
              </w:rPr>
              <w:t>响应文件具体响应</w:t>
            </w:r>
          </w:p>
        </w:tc>
        <w:tc>
          <w:tcPr>
            <w:tcW w:w="1571" w:type="dxa"/>
            <w:vAlign w:val="center"/>
          </w:tcPr>
          <w:p>
            <w:pPr>
              <w:jc w:val="center"/>
            </w:pPr>
            <w:r>
              <w:rPr>
                <w:rFonts w:hint="eastAsia"/>
              </w:rPr>
              <w:t>响应/偏离</w:t>
            </w:r>
          </w:p>
        </w:tc>
        <w:tc>
          <w:tcPr>
            <w:tcW w:w="146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r>
              <w:rPr>
                <w:rFonts w:hint="eastAsia"/>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pPr>
            <w:r>
              <w:rPr>
                <w:rFonts w:hint="eastAsia"/>
              </w:rPr>
              <w:t>1</w:t>
            </w:r>
          </w:p>
        </w:tc>
        <w:tc>
          <w:tcPr>
            <w:tcW w:w="3013" w:type="dxa"/>
            <w:vAlign w:val="center"/>
          </w:tcPr>
          <w:p>
            <w:pPr>
              <w:jc w:val="center"/>
              <w:rPr>
                <w:rFonts w:ascii="宋体" w:hAnsi="宋体"/>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2</w:t>
            </w:r>
          </w:p>
        </w:tc>
        <w:tc>
          <w:tcPr>
            <w:tcW w:w="3013" w:type="dxa"/>
            <w:vAlign w:val="center"/>
          </w:tcPr>
          <w:p>
            <w:pPr>
              <w:tabs>
                <w:tab w:val="left" w:pos="180"/>
                <w:tab w:val="left" w:pos="1620"/>
              </w:tabs>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3</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4</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w:t>
            </w:r>
          </w:p>
        </w:tc>
        <w:tc>
          <w:tcPr>
            <w:tcW w:w="3013" w:type="dxa"/>
            <w:vAlign w:val="center"/>
          </w:tcPr>
          <w:p>
            <w:pPr>
              <w:jc w:val="cente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bookmarkStart w:id="8" w:name="_Toc476258666"/>
            <w:bookmarkStart w:id="9" w:name="_Toc476258667"/>
            <w:r>
              <w:rPr>
                <w:rFonts w:hint="eastAsia"/>
              </w:rPr>
              <w:t>商务部分</w:t>
            </w:r>
            <w:bookmarkEnd w:id="8"/>
            <w:r>
              <w:rPr>
                <w:rFonts w:hint="eastAsia"/>
              </w:rPr>
              <w:t>（商务要求）</w:t>
            </w:r>
            <w:bookmarkEnd w:id="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0" w:name="_Toc476258668"/>
            <w:r>
              <w:rPr>
                <w:rFonts w:hint="eastAsia"/>
              </w:rPr>
              <w:t>1</w:t>
            </w:r>
            <w:bookmarkEnd w:id="10"/>
          </w:p>
        </w:tc>
        <w:tc>
          <w:tcPr>
            <w:tcW w:w="3013" w:type="dxa"/>
            <w:vAlign w:val="center"/>
          </w:tcPr>
          <w:p>
            <w:pPr>
              <w:tabs>
                <w:tab w:val="left" w:pos="180"/>
                <w:tab w:val="left" w:pos="1620"/>
              </w:tabs>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1" w:name="_Toc476258669"/>
            <w:r>
              <w:rPr>
                <w:rFonts w:hint="eastAsia"/>
              </w:rPr>
              <w:t>2</w:t>
            </w:r>
            <w:bookmarkEnd w:id="11"/>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2" w:name="_Toc476258670"/>
            <w:r>
              <w:rPr>
                <w:rFonts w:hint="eastAsia"/>
              </w:rPr>
              <w:t>3</w:t>
            </w:r>
            <w:bookmarkEnd w:id="12"/>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4</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bookmarkStart w:id="13" w:name="_Toc476258671"/>
            <w:r>
              <w:rPr>
                <w:rFonts w:hint="eastAsia"/>
              </w:rPr>
              <w:t>…</w:t>
            </w:r>
            <w:bookmarkEnd w:id="13"/>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bl>
    <w:p>
      <w:pPr>
        <w:adjustRightInd w:val="0"/>
        <w:snapToGrid w:val="0"/>
        <w:spacing w:line="360" w:lineRule="exact"/>
        <w:rPr>
          <w:rFonts w:ascii="宋体" w:hAnsi="宋体"/>
          <w:b/>
          <w:sz w:val="18"/>
          <w:szCs w:val="18"/>
        </w:rPr>
      </w:pPr>
      <w:r>
        <w:rPr>
          <w:rFonts w:hint="eastAsia" w:ascii="宋体" w:hAnsi="宋体"/>
          <w:b/>
          <w:sz w:val="18"/>
          <w:szCs w:val="18"/>
        </w:rPr>
        <w:t>说明：</w:t>
      </w:r>
      <w:r>
        <w:rPr>
          <w:rFonts w:hint="eastAsia" w:hAnsi="宋体"/>
          <w:b/>
          <w:sz w:val="18"/>
          <w:szCs w:val="18"/>
        </w:rPr>
        <w:t>1、应写明询价</w:t>
      </w:r>
      <w:r>
        <w:rPr>
          <w:rFonts w:hint="eastAsia" w:ascii="宋体" w:hAnsi="宋体"/>
          <w:b/>
          <w:sz w:val="18"/>
          <w:szCs w:val="18"/>
        </w:rPr>
        <w:t>响应文件对</w:t>
      </w:r>
      <w:r>
        <w:rPr>
          <w:rFonts w:hint="eastAsia"/>
          <w:b/>
          <w:sz w:val="18"/>
          <w:szCs w:val="18"/>
        </w:rPr>
        <w:t>商务</w:t>
      </w:r>
      <w:r>
        <w:rPr>
          <w:rFonts w:hint="eastAsia" w:hAnsi="宋体"/>
          <w:b/>
          <w:sz w:val="18"/>
          <w:szCs w:val="18"/>
        </w:rPr>
        <w:t>与服务要求的</w:t>
      </w:r>
      <w:r>
        <w:rPr>
          <w:rFonts w:hint="eastAsia" w:ascii="宋体" w:hAnsi="宋体"/>
          <w:b/>
          <w:sz w:val="18"/>
          <w:szCs w:val="18"/>
        </w:rPr>
        <w:t>响应和偏离情况</w:t>
      </w:r>
      <w:r>
        <w:rPr>
          <w:rFonts w:hint="eastAsia"/>
          <w:b/>
          <w:bCs/>
          <w:sz w:val="18"/>
          <w:szCs w:val="18"/>
        </w:rPr>
        <w:t>；</w:t>
      </w:r>
    </w:p>
    <w:p>
      <w:pPr>
        <w:pStyle w:val="11"/>
        <w:spacing w:line="400" w:lineRule="exact"/>
        <w:rPr>
          <w:rFonts w:hAnsi="宋体"/>
          <w:b/>
          <w:sz w:val="18"/>
          <w:szCs w:val="18"/>
        </w:rPr>
      </w:pPr>
      <w:r>
        <w:rPr>
          <w:rFonts w:hint="eastAsia" w:hAnsi="宋体"/>
          <w:b/>
          <w:sz w:val="18"/>
          <w:szCs w:val="18"/>
        </w:rPr>
        <w:t>2、应对照询价通知书“第二章 采购需求”中采购项目技术规格、参数及要求，</w:t>
      </w:r>
      <w:r>
        <w:rPr>
          <w:rFonts w:hint="eastAsia" w:hAnsi="宋体"/>
          <w:b/>
          <w:sz w:val="18"/>
          <w:szCs w:val="18"/>
          <w:highlight w:val="yellow"/>
        </w:rPr>
        <w:t>逐条</w:t>
      </w:r>
      <w:r>
        <w:rPr>
          <w:rFonts w:hint="eastAsia" w:hAnsi="宋体"/>
          <w:b/>
          <w:sz w:val="18"/>
          <w:szCs w:val="18"/>
        </w:rPr>
        <w:t>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rPr>
      </w:pPr>
    </w:p>
    <w:p>
      <w:pPr>
        <w:pStyle w:val="11"/>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480" w:lineRule="exact"/>
        <w:ind w:firstLine="4620" w:firstLineChars="2200"/>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日 </w:t>
      </w:r>
    </w:p>
    <w:p>
      <w:pPr>
        <w:spacing w:line="520" w:lineRule="exact"/>
        <w:jc w:val="left"/>
        <w:rPr>
          <w:rFonts w:asciiTheme="majorEastAsia" w:hAnsiTheme="majorEastAsia" w:eastAsiaTheme="majorEastAsia"/>
          <w:b/>
          <w:sz w:val="24"/>
        </w:rPr>
      </w:pPr>
      <w:r>
        <w:rPr>
          <w:rFonts w:hint="eastAsia" w:asciiTheme="majorEastAsia" w:hAnsiTheme="majorEastAsia" w:eastAsiaTheme="majorEastAsia"/>
          <w:b/>
          <w:sz w:val="24"/>
        </w:rPr>
        <w:t xml:space="preserve">      </w:t>
      </w:r>
    </w:p>
    <w:p>
      <w:pPr>
        <w:spacing w:line="520" w:lineRule="exact"/>
        <w:jc w:val="left"/>
        <w:rPr>
          <w:rFonts w:ascii="宋体" w:hAnsi="宋体"/>
          <w:b/>
          <w:sz w:val="28"/>
          <w:szCs w:val="28"/>
        </w:rPr>
      </w:pPr>
      <w:r>
        <w:rPr>
          <w:rFonts w:hint="eastAsia" w:ascii="宋体" w:hAnsi="宋体"/>
          <w:b/>
          <w:sz w:val="28"/>
          <w:szCs w:val="28"/>
        </w:rPr>
        <w:t>附件三</w:t>
      </w:r>
    </w:p>
    <w:p>
      <w:pPr>
        <w:spacing w:line="300" w:lineRule="auto"/>
        <w:rPr>
          <w:rFonts w:ascii="宋体" w:hAnsi="宋体"/>
          <w:b/>
          <w:szCs w:val="21"/>
        </w:rPr>
      </w:pPr>
    </w:p>
    <w:p>
      <w:pPr>
        <w:pStyle w:val="11"/>
        <w:spacing w:line="440" w:lineRule="exact"/>
        <w:jc w:val="center"/>
        <w:rPr>
          <w:rFonts w:ascii="方正小标宋简体" w:hAnsi="方正小标宋简体" w:eastAsia="方正小标宋简体" w:cs="方正小标宋简体"/>
          <w:bCs/>
          <w:sz w:val="32"/>
          <w:szCs w:val="32"/>
        </w:rPr>
      </w:pPr>
      <w:r>
        <w:rPr>
          <w:rFonts w:hint="eastAsia" w:hAnsi="宋体" w:cs="Times New Roman"/>
          <w:b/>
          <w:sz w:val="32"/>
          <w:szCs w:val="32"/>
        </w:rPr>
        <w:t>法定代表人身份证明书（格式）</w:t>
      </w:r>
    </w:p>
    <w:p>
      <w:pPr>
        <w:pStyle w:val="11"/>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1"/>
        <w:spacing w:line="460" w:lineRule="exact"/>
        <w:ind w:firstLine="539" w:firstLineChars="257"/>
        <w:rPr>
          <w:rFonts w:ascii="仿宋" w:hAnsi="仿宋" w:eastAsia="仿宋" w:cs="仿宋"/>
        </w:rPr>
      </w:pPr>
      <w:r>
        <w:rPr>
          <w:rFonts w:hint="eastAsia" w:ascii="仿宋" w:hAnsi="仿宋" w:eastAsia="仿宋" w:cs="仿宋"/>
        </w:rPr>
        <w:t>特此证明。</w:t>
      </w:r>
    </w:p>
    <w:p>
      <w:pPr>
        <w:pStyle w:val="11"/>
        <w:spacing w:line="460" w:lineRule="exact"/>
        <w:ind w:firstLine="539" w:firstLineChars="257"/>
        <w:rPr>
          <w:rFonts w:ascii="仿宋" w:hAnsi="仿宋" w:eastAsia="仿宋" w:cs="仿宋"/>
        </w:rPr>
      </w:pPr>
    </w:p>
    <w:p>
      <w:pPr>
        <w:pStyle w:val="11"/>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1"/>
        <w:spacing w:line="460" w:lineRule="exact"/>
        <w:ind w:firstLine="539" w:firstLineChars="257"/>
        <w:rPr>
          <w:rFonts w:ascii="仿宋" w:hAnsi="仿宋" w:eastAsia="仿宋" w:cs="仿宋"/>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pStyle w:val="11"/>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1"/>
        <w:spacing w:line="460" w:lineRule="exact"/>
        <w:ind w:firstLine="539" w:firstLineChars="257"/>
        <w:rPr>
          <w:rFonts w:ascii="仿宋" w:hAnsi="仿宋" w:eastAsia="仿宋" w:cs="仿宋"/>
        </w:rPr>
      </w:pPr>
    </w:p>
    <w:p>
      <w:pPr>
        <w:pStyle w:val="11"/>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5"/>
        <w:ind w:left="0" w:leftChars="0" w:firstLine="0" w:firstLineChars="0"/>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黑体" w:hAnsi="黑体" w:eastAsia="黑体" w:cs="方正小标宋简体"/>
          <w:sz w:val="32"/>
          <w:szCs w:val="4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r>
        <w:rPr>
          <w:rFonts w:ascii="黑体" w:hAnsi="黑体" w:eastAsia="黑体" w:cs="方正小标宋简体"/>
          <w:sz w:val="32"/>
          <w:szCs w:val="44"/>
        </w:rPr>
        <w:br w:type="page"/>
      </w:r>
    </w:p>
    <w:p>
      <w:pPr>
        <w:autoSpaceDE w:val="0"/>
        <w:autoSpaceDN w:val="0"/>
        <w:spacing w:line="300" w:lineRule="auto"/>
        <w:rPr>
          <w:rFonts w:ascii="宋体" w:hAnsi="宋体"/>
          <w:b/>
          <w:sz w:val="28"/>
          <w:szCs w:val="28"/>
        </w:rPr>
      </w:pPr>
      <w:r>
        <w:rPr>
          <w:rFonts w:hint="eastAsia" w:ascii="宋体" w:hAnsi="宋体"/>
          <w:b/>
          <w:sz w:val="28"/>
          <w:szCs w:val="28"/>
        </w:rPr>
        <w:t>附件六</w:t>
      </w:r>
    </w:p>
    <w:p>
      <w:pPr>
        <w:pStyle w:val="15"/>
        <w:ind w:left="980" w:hanging="560"/>
      </w:pPr>
    </w:p>
    <w:p>
      <w:pPr>
        <w:jc w:val="center"/>
        <w:rPr>
          <w:rFonts w:ascii="宋体" w:hAnsi="宋体" w:cs="宋体"/>
          <w:b/>
          <w:bCs/>
          <w:sz w:val="32"/>
          <w:szCs w:val="32"/>
        </w:rPr>
      </w:pPr>
      <w:r>
        <w:rPr>
          <w:rFonts w:hint="eastAsia" w:ascii="宋体" w:hAnsi="宋体" w:cs="宋体"/>
          <w:b/>
          <w:bCs/>
          <w:sz w:val="32"/>
          <w:szCs w:val="32"/>
        </w:rPr>
        <w:t>供应商信用证明材料</w:t>
      </w:r>
    </w:p>
    <w:p>
      <w:pPr>
        <w:pStyle w:val="73"/>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w:t>
      </w:r>
      <w:r>
        <w:rPr>
          <w:rFonts w:hint="eastAsia" w:ascii="宋体" w:hAnsi="宋体" w:cs="宋体"/>
          <w:b/>
          <w:sz w:val="24"/>
        </w:rPr>
        <w:t>[</w:t>
      </w:r>
      <w:r>
        <w:rPr>
          <w:rFonts w:hint="eastAsia" w:ascii="宋体" w:hAnsi="宋体" w:cs="宋体"/>
          <w:b/>
          <w:sz w:val="24"/>
          <w:highlight w:val="yellow"/>
        </w:rPr>
        <w:t>格式自拟，必须提供</w:t>
      </w:r>
      <w:r>
        <w:rPr>
          <w:rFonts w:hint="eastAsia" w:ascii="宋体" w:hAnsi="宋体" w:cs="宋体"/>
          <w:b/>
          <w:sz w:val="24"/>
        </w:rPr>
        <w:t>]</w:t>
      </w:r>
    </w:p>
    <w:p>
      <w:pPr>
        <w:pStyle w:val="73"/>
        <w:numPr>
          <w:ilvl w:val="0"/>
          <w:numId w:val="1"/>
        </w:numPr>
        <w:rPr>
          <w:rFonts w:ascii="宋体" w:hAnsi="宋体" w:cs="宋体"/>
          <w:b/>
          <w:sz w:val="24"/>
        </w:rPr>
      </w:pPr>
      <w:r>
        <w:rPr>
          <w:rFonts w:hint="eastAsia" w:ascii="宋体" w:hAnsi="宋体" w:cs="宋体"/>
          <w:bCs/>
          <w:sz w:val="24"/>
        </w:rPr>
        <w:t>信用中国网站截图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w:t>
      </w:r>
      <w:r>
        <w:rPr>
          <w:rFonts w:hint="eastAsia" w:ascii="宋体" w:hAnsi="宋体" w:cs="宋体"/>
          <w:b/>
          <w:sz w:val="24"/>
        </w:rPr>
        <w:t>[</w:t>
      </w:r>
      <w:r>
        <w:rPr>
          <w:rFonts w:hint="eastAsia" w:ascii="宋体" w:hAnsi="宋体" w:cs="宋体"/>
          <w:b/>
          <w:sz w:val="24"/>
          <w:highlight w:val="yellow"/>
        </w:rPr>
        <w:t>必须提供</w:t>
      </w:r>
      <w:r>
        <w:rPr>
          <w:rFonts w:hint="eastAsia" w:ascii="宋体" w:hAnsi="宋体" w:cs="宋体"/>
          <w:b/>
          <w:sz w:val="24"/>
        </w:rPr>
        <w:t>]</w:t>
      </w:r>
    </w:p>
    <w:p>
      <w:pPr>
        <w:jc w:val="left"/>
        <w:rPr>
          <w:rFonts w:asciiTheme="majorEastAsia" w:hAnsiTheme="majorEastAsia" w:eastAsiaTheme="majorEastAsia"/>
          <w:b/>
          <w:sz w:val="32"/>
          <w:szCs w:val="32"/>
        </w:rPr>
      </w:pPr>
      <w:bookmarkStart w:id="14" w:name="_Toc42077370"/>
      <w:r>
        <w:rPr>
          <w:rFonts w:hint="eastAsia" w:asciiTheme="majorEastAsia" w:hAnsiTheme="majorEastAsia" w:eastAsiaTheme="majorEastAsia"/>
          <w:b/>
          <w:sz w:val="32"/>
          <w:szCs w:val="32"/>
        </w:rPr>
        <w:br w:type="page"/>
      </w:r>
    </w:p>
    <w:p>
      <w:pPr>
        <w:pStyle w:val="3"/>
        <w:spacing w:line="360" w:lineRule="exact"/>
        <w:ind w:right="960" w:firstLine="2400" w:firstLineChars="600"/>
        <w:jc w:val="left"/>
        <w:rPr>
          <w:b w:val="0"/>
          <w:bCs/>
          <w:sz w:val="40"/>
          <w:szCs w:val="22"/>
        </w:rPr>
      </w:pPr>
      <w:bookmarkStart w:id="15" w:name="_Toc24643"/>
      <w:r>
        <w:rPr>
          <w:rFonts w:hint="eastAsia"/>
          <w:b w:val="0"/>
          <w:bCs/>
          <w:sz w:val="40"/>
          <w:szCs w:val="22"/>
        </w:rPr>
        <w:t>第五章</w:t>
      </w:r>
      <w:r>
        <w:rPr>
          <w:b w:val="0"/>
          <w:bCs/>
          <w:sz w:val="40"/>
          <w:szCs w:val="22"/>
        </w:rPr>
        <w:t xml:space="preserve"> </w:t>
      </w:r>
      <w:r>
        <w:rPr>
          <w:rFonts w:hint="eastAsia"/>
          <w:b w:val="0"/>
          <w:bCs/>
          <w:sz w:val="40"/>
          <w:szCs w:val="22"/>
        </w:rPr>
        <w:t>合同主要条款</w:t>
      </w:r>
      <w:bookmarkEnd w:id="14"/>
      <w:bookmarkEnd w:id="15"/>
    </w:p>
    <w:p>
      <w:pPr>
        <w:spacing w:line="360" w:lineRule="exact"/>
        <w:ind w:right="960"/>
        <w:jc w:val="center"/>
        <w:rPr>
          <w:rFonts w:asciiTheme="majorEastAsia" w:hAnsiTheme="majorEastAsia" w:eastAsiaTheme="majorEastAsia"/>
          <w:b/>
          <w:sz w:val="32"/>
          <w:szCs w:val="32"/>
        </w:rPr>
      </w:pPr>
    </w:p>
    <w:p>
      <w:pPr>
        <w:pStyle w:val="4"/>
        <w:jc w:val="center"/>
        <w:rPr>
          <w:sz w:val="40"/>
        </w:rPr>
      </w:pPr>
      <w:r>
        <w:rPr>
          <w:rFonts w:hint="eastAsia"/>
          <w:sz w:val="40"/>
        </w:rPr>
        <w:t>广西工商职业技术学院采购校园“一卡通”实体卡片项目</w:t>
      </w:r>
    </w:p>
    <w:p/>
    <w:p>
      <w:pPr>
        <w:spacing w:line="500" w:lineRule="exact"/>
        <w:jc w:val="center"/>
        <w:rPr>
          <w:rFonts w:ascii="宋体" w:hAnsi="宋体" w:cs="宋体"/>
          <w:b/>
          <w:bCs/>
          <w:sz w:val="44"/>
          <w:szCs w:val="52"/>
        </w:rPr>
      </w:pPr>
      <w:bookmarkStart w:id="16" w:name="_Toc15562802"/>
      <w:r>
        <w:rPr>
          <w:rFonts w:hint="eastAsia" w:ascii="宋体" w:hAnsi="宋体" w:cs="宋体"/>
          <w:b/>
          <w:bCs/>
          <w:sz w:val="44"/>
          <w:szCs w:val="52"/>
        </w:rPr>
        <w:t>采购合同</w:t>
      </w:r>
    </w:p>
    <w:p>
      <w:pPr>
        <w:spacing w:line="500" w:lineRule="exact"/>
        <w:rPr>
          <w:rFonts w:ascii="宋体" w:hAnsi="宋体" w:cs="宋体"/>
          <w:b/>
          <w:sz w:val="36"/>
          <w:szCs w:val="36"/>
        </w:rPr>
      </w:pPr>
    </w:p>
    <w:bookmarkEnd w:id="16"/>
    <w:p>
      <w:pPr>
        <w:snapToGrid w:val="0"/>
        <w:spacing w:before="120" w:line="360" w:lineRule="auto"/>
        <w:rPr>
          <w:rFonts w:ascii="宋体" w:hAnsi="宋体" w:cs="宋体"/>
          <w:szCs w:val="21"/>
        </w:rPr>
      </w:pPr>
      <w:r>
        <w:rPr>
          <w:rFonts w:hint="eastAsia" w:ascii="宋体" w:hAnsi="宋体" w:cs="宋体"/>
          <w:bCs/>
          <w:szCs w:val="21"/>
        </w:rPr>
        <w:t>合同编号：</w:t>
      </w:r>
    </w:p>
    <w:p>
      <w:pPr>
        <w:snapToGrid w:val="0"/>
        <w:spacing w:line="460" w:lineRule="exact"/>
        <w:rPr>
          <w:rFonts w:ascii="宋体" w:hAnsi="宋体" w:cs="宋体"/>
          <w:szCs w:val="21"/>
          <w:u w:val="single"/>
        </w:rPr>
      </w:pPr>
      <w:r>
        <w:rPr>
          <w:rFonts w:hint="eastAsia" w:ascii="宋体" w:hAnsi="宋体" w:cs="宋体"/>
          <w:szCs w:val="21"/>
        </w:rPr>
        <w:t>采购单位（甲方）</w:t>
      </w:r>
      <w:r>
        <w:rPr>
          <w:rFonts w:hint="eastAsia" w:ascii="宋体" w:hAnsi="宋体" w:cs="宋体"/>
          <w:szCs w:val="21"/>
          <w:u w:val="single"/>
        </w:rPr>
        <w:t xml:space="preserve">                        </w:t>
      </w:r>
      <w:r>
        <w:rPr>
          <w:rFonts w:hint="eastAsia" w:ascii="宋体" w:hAnsi="宋体" w:cs="宋体"/>
          <w:szCs w:val="21"/>
        </w:rPr>
        <w:t xml:space="preserve">     采购计划号：</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中标（成交）人（乙方）</w:t>
      </w:r>
      <w:r>
        <w:rPr>
          <w:rFonts w:hint="eastAsia" w:ascii="宋体" w:hAnsi="宋体" w:cs="宋体"/>
          <w:szCs w:val="21"/>
          <w:u w:val="single"/>
        </w:rPr>
        <w:t xml:space="preserve">                          </w:t>
      </w:r>
      <w:r>
        <w:rPr>
          <w:rFonts w:hint="eastAsia" w:ascii="宋体" w:hAnsi="宋体" w:cs="宋体"/>
          <w:szCs w:val="21"/>
        </w:rPr>
        <w:t xml:space="preserve">     项目名称 ：</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签  订  地  点</w:t>
      </w:r>
      <w:r>
        <w:rPr>
          <w:rFonts w:hint="eastAsia" w:ascii="宋体" w:hAnsi="宋体" w:cs="宋体"/>
          <w:szCs w:val="21"/>
          <w:u w:val="single"/>
        </w:rPr>
        <w:t xml:space="preserve">                           </w:t>
      </w:r>
      <w:r>
        <w:rPr>
          <w:rFonts w:hint="eastAsia" w:ascii="宋体" w:hAnsi="宋体" w:cs="宋体"/>
          <w:szCs w:val="21"/>
        </w:rPr>
        <w:t xml:space="preserve">     签 订 时 间</w:t>
      </w:r>
      <w:r>
        <w:rPr>
          <w:rFonts w:hint="eastAsia" w:ascii="宋体" w:hAnsi="宋体" w:cs="宋体"/>
          <w:szCs w:val="21"/>
          <w:u w:val="single"/>
        </w:rPr>
        <w:t xml:space="preserve">                           </w:t>
      </w:r>
    </w:p>
    <w:p>
      <w:pPr>
        <w:snapToGrid w:val="0"/>
        <w:spacing w:line="460" w:lineRule="exact"/>
        <w:ind w:firstLine="420" w:firstLineChars="200"/>
        <w:rPr>
          <w:rFonts w:ascii="宋体" w:hAnsi="宋体" w:cs="宋体"/>
          <w:szCs w:val="21"/>
        </w:rPr>
      </w:pPr>
      <w:r>
        <w:rPr>
          <w:rFonts w:hint="eastAsia" w:ascii="宋体" w:hAnsi="宋体" w:cs="宋体"/>
          <w:szCs w:val="21"/>
        </w:rPr>
        <w:t>根据《中华人民共和国民法典》等法律、法规规定，按照招投标文件（采购文件）规定条款和中标（成交）供应商承诺，甲乙双方签订本合同。</w:t>
      </w:r>
    </w:p>
    <w:p>
      <w:pPr>
        <w:snapToGrid w:val="0"/>
        <w:spacing w:line="460" w:lineRule="exact"/>
        <w:ind w:firstLine="422" w:firstLineChars="200"/>
        <w:rPr>
          <w:rFonts w:ascii="宋体" w:hAnsi="宋体" w:cs="宋体"/>
          <w:b/>
          <w:szCs w:val="21"/>
        </w:rPr>
      </w:pPr>
      <w:r>
        <w:rPr>
          <w:rFonts w:hint="eastAsia" w:ascii="宋体" w:hAnsi="宋体" w:cs="宋体"/>
          <w:b/>
          <w:szCs w:val="21"/>
        </w:rPr>
        <w:t>第一条　合同标的</w:t>
      </w:r>
    </w:p>
    <w:p>
      <w:pPr>
        <w:snapToGrid w:val="0"/>
        <w:spacing w:line="460" w:lineRule="exact"/>
        <w:ind w:firstLine="420" w:firstLineChars="200"/>
        <w:rPr>
          <w:rFonts w:ascii="宋体" w:hAnsi="宋体" w:cs="宋体"/>
          <w:szCs w:val="21"/>
        </w:rPr>
      </w:pPr>
      <w:r>
        <w:rPr>
          <w:rFonts w:hint="eastAsia" w:ascii="宋体" w:hAnsi="宋体" w:cs="宋体"/>
          <w:szCs w:val="21"/>
        </w:rPr>
        <w:t>1、服务内容一览表</w:t>
      </w:r>
    </w:p>
    <w:tbl>
      <w:tblPr>
        <w:tblStyle w:val="17"/>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31"/>
        <w:gridCol w:w="2506"/>
        <w:gridCol w:w="850"/>
        <w:gridCol w:w="760"/>
        <w:gridCol w:w="127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636" w:type="dxa"/>
            <w:vAlign w:val="center"/>
          </w:tcPr>
          <w:p>
            <w:pPr>
              <w:snapToGrid w:val="0"/>
              <w:spacing w:line="460" w:lineRule="exact"/>
              <w:jc w:val="center"/>
              <w:rPr>
                <w:rFonts w:ascii="宋体" w:hAnsi="宋体" w:cs="宋体"/>
                <w:b/>
                <w:szCs w:val="21"/>
              </w:rPr>
            </w:pPr>
            <w:r>
              <w:rPr>
                <w:rFonts w:hint="eastAsia" w:ascii="宋体" w:hAnsi="宋体" w:cs="宋体"/>
                <w:b/>
                <w:szCs w:val="21"/>
              </w:rPr>
              <w:t>序号</w:t>
            </w:r>
          </w:p>
        </w:tc>
        <w:tc>
          <w:tcPr>
            <w:tcW w:w="1731" w:type="dxa"/>
            <w:vAlign w:val="center"/>
          </w:tcPr>
          <w:p>
            <w:pPr>
              <w:snapToGrid w:val="0"/>
              <w:spacing w:line="460" w:lineRule="exact"/>
              <w:jc w:val="center"/>
              <w:rPr>
                <w:rFonts w:ascii="宋体" w:hAnsi="宋体" w:cs="宋体"/>
                <w:b/>
                <w:szCs w:val="21"/>
              </w:rPr>
            </w:pPr>
            <w:r>
              <w:rPr>
                <w:rFonts w:hint="eastAsia" w:ascii="宋体" w:hAnsi="宋体" w:cs="宋体"/>
                <w:b/>
                <w:szCs w:val="21"/>
              </w:rPr>
              <w:t>采购名称</w:t>
            </w:r>
          </w:p>
        </w:tc>
        <w:tc>
          <w:tcPr>
            <w:tcW w:w="2506" w:type="dxa"/>
            <w:vAlign w:val="center"/>
          </w:tcPr>
          <w:p>
            <w:pPr>
              <w:snapToGrid w:val="0"/>
              <w:spacing w:line="460" w:lineRule="exact"/>
              <w:jc w:val="center"/>
              <w:rPr>
                <w:rFonts w:ascii="宋体" w:hAnsi="宋体" w:cs="宋体"/>
                <w:b/>
                <w:szCs w:val="21"/>
              </w:rPr>
            </w:pPr>
            <w:r>
              <w:rPr>
                <w:rFonts w:hint="eastAsia" w:ascii="宋体" w:hAnsi="宋体" w:cs="宋体"/>
                <w:b/>
                <w:szCs w:val="21"/>
              </w:rPr>
              <w:t>服务内容</w:t>
            </w:r>
          </w:p>
        </w:tc>
        <w:tc>
          <w:tcPr>
            <w:tcW w:w="850" w:type="dxa"/>
            <w:vAlign w:val="center"/>
          </w:tcPr>
          <w:p>
            <w:pPr>
              <w:snapToGrid w:val="0"/>
              <w:spacing w:line="460" w:lineRule="exact"/>
              <w:jc w:val="center"/>
              <w:rPr>
                <w:rFonts w:ascii="宋体" w:hAnsi="宋体" w:cs="宋体"/>
                <w:b/>
                <w:szCs w:val="21"/>
              </w:rPr>
            </w:pPr>
            <w:r>
              <w:rPr>
                <w:rFonts w:hint="eastAsia" w:ascii="宋体" w:hAnsi="宋体" w:cs="宋体"/>
                <w:b/>
                <w:szCs w:val="21"/>
              </w:rPr>
              <w:t>数量</w:t>
            </w:r>
          </w:p>
        </w:tc>
        <w:tc>
          <w:tcPr>
            <w:tcW w:w="760" w:type="dxa"/>
            <w:vAlign w:val="center"/>
          </w:tcPr>
          <w:p>
            <w:pPr>
              <w:snapToGrid w:val="0"/>
              <w:spacing w:line="460" w:lineRule="exact"/>
              <w:jc w:val="center"/>
              <w:rPr>
                <w:rFonts w:ascii="宋体" w:hAnsi="宋体" w:cs="宋体"/>
                <w:b/>
                <w:szCs w:val="21"/>
              </w:rPr>
            </w:pPr>
            <w:r>
              <w:rPr>
                <w:rFonts w:hint="eastAsia" w:ascii="宋体" w:hAnsi="宋体" w:cs="宋体"/>
                <w:b/>
                <w:szCs w:val="21"/>
              </w:rPr>
              <w:t>单位</w:t>
            </w:r>
          </w:p>
        </w:tc>
        <w:tc>
          <w:tcPr>
            <w:tcW w:w="1275" w:type="dxa"/>
            <w:vAlign w:val="center"/>
          </w:tcPr>
          <w:p>
            <w:pPr>
              <w:snapToGrid w:val="0"/>
              <w:spacing w:line="460" w:lineRule="exact"/>
              <w:jc w:val="center"/>
              <w:rPr>
                <w:rFonts w:ascii="宋体" w:hAnsi="宋体" w:cs="宋体"/>
                <w:b/>
                <w:szCs w:val="21"/>
              </w:rPr>
            </w:pPr>
            <w:r>
              <w:rPr>
                <w:rFonts w:hint="eastAsia" w:ascii="宋体" w:hAnsi="宋体" w:cs="宋体"/>
                <w:b/>
                <w:szCs w:val="21"/>
              </w:rPr>
              <w:t>单价（元）</w:t>
            </w:r>
          </w:p>
        </w:tc>
        <w:tc>
          <w:tcPr>
            <w:tcW w:w="1295" w:type="dxa"/>
            <w:vAlign w:val="center"/>
          </w:tcPr>
          <w:p>
            <w:pPr>
              <w:snapToGrid w:val="0"/>
              <w:spacing w:line="460" w:lineRule="exact"/>
              <w:jc w:val="center"/>
              <w:rPr>
                <w:rFonts w:ascii="宋体" w:hAnsi="宋体" w:cs="宋体"/>
                <w:b/>
                <w:szCs w:val="21"/>
              </w:rPr>
            </w:pPr>
            <w:r>
              <w:rPr>
                <w:rFonts w:hint="eastAsia" w:ascii="宋体" w:hAnsi="宋体" w:cs="宋体"/>
                <w:b/>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1</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36" w:type="dxa"/>
            <w:vAlign w:val="center"/>
          </w:tcPr>
          <w:p>
            <w:pPr>
              <w:snapToGrid w:val="0"/>
              <w:spacing w:line="460" w:lineRule="exact"/>
              <w:jc w:val="center"/>
              <w:rPr>
                <w:rFonts w:ascii="宋体" w:hAnsi="宋体" w:cs="宋体"/>
                <w:szCs w:val="21"/>
              </w:rPr>
            </w:pPr>
            <w:r>
              <w:rPr>
                <w:rFonts w:hint="eastAsia" w:ascii="宋体" w:hAnsi="宋体" w:cs="宋体"/>
                <w:szCs w:val="21"/>
              </w:rPr>
              <w:t>...</w:t>
            </w:r>
          </w:p>
        </w:tc>
        <w:tc>
          <w:tcPr>
            <w:tcW w:w="1731" w:type="dxa"/>
            <w:vAlign w:val="center"/>
          </w:tcPr>
          <w:p>
            <w:pPr>
              <w:snapToGrid w:val="0"/>
              <w:spacing w:line="460" w:lineRule="exact"/>
              <w:jc w:val="center"/>
              <w:rPr>
                <w:rFonts w:ascii="宋体" w:hAnsi="宋体" w:cs="宋体"/>
                <w:szCs w:val="21"/>
              </w:rPr>
            </w:pPr>
          </w:p>
        </w:tc>
        <w:tc>
          <w:tcPr>
            <w:tcW w:w="2506" w:type="dxa"/>
            <w:vAlign w:val="center"/>
          </w:tcPr>
          <w:p>
            <w:pPr>
              <w:snapToGrid w:val="0"/>
              <w:spacing w:line="460" w:lineRule="exact"/>
              <w:jc w:val="center"/>
              <w:rPr>
                <w:rFonts w:ascii="宋体" w:hAnsi="宋体" w:cs="宋体"/>
                <w:szCs w:val="21"/>
              </w:rPr>
            </w:pPr>
          </w:p>
        </w:tc>
        <w:tc>
          <w:tcPr>
            <w:tcW w:w="850" w:type="dxa"/>
            <w:vAlign w:val="center"/>
          </w:tcPr>
          <w:p>
            <w:pPr>
              <w:snapToGrid w:val="0"/>
              <w:spacing w:line="460" w:lineRule="exact"/>
              <w:jc w:val="center"/>
              <w:rPr>
                <w:rFonts w:ascii="宋体" w:hAnsi="宋体" w:cs="宋体"/>
                <w:szCs w:val="21"/>
              </w:rPr>
            </w:pPr>
          </w:p>
        </w:tc>
        <w:tc>
          <w:tcPr>
            <w:tcW w:w="760" w:type="dxa"/>
            <w:vAlign w:val="center"/>
          </w:tcPr>
          <w:p>
            <w:pPr>
              <w:snapToGrid w:val="0"/>
              <w:spacing w:line="460" w:lineRule="exact"/>
              <w:jc w:val="center"/>
              <w:rPr>
                <w:rFonts w:ascii="宋体" w:hAnsi="宋体" w:cs="宋体"/>
                <w:szCs w:val="21"/>
              </w:rPr>
            </w:pPr>
          </w:p>
        </w:tc>
        <w:tc>
          <w:tcPr>
            <w:tcW w:w="1275" w:type="dxa"/>
            <w:vAlign w:val="center"/>
          </w:tcPr>
          <w:p>
            <w:pPr>
              <w:snapToGrid w:val="0"/>
              <w:spacing w:line="460" w:lineRule="exact"/>
              <w:jc w:val="center"/>
              <w:rPr>
                <w:rFonts w:ascii="宋体" w:hAnsi="宋体" w:cs="宋体"/>
                <w:szCs w:val="21"/>
              </w:rPr>
            </w:pPr>
          </w:p>
        </w:tc>
        <w:tc>
          <w:tcPr>
            <w:tcW w:w="1295" w:type="dxa"/>
            <w:vAlign w:val="center"/>
          </w:tcPr>
          <w:p>
            <w:pPr>
              <w:snapToGrid w:val="0"/>
              <w:spacing w:line="46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53" w:type="dxa"/>
            <w:gridSpan w:val="7"/>
            <w:vAlign w:val="center"/>
          </w:tcPr>
          <w:p>
            <w:pPr>
              <w:snapToGrid w:val="0"/>
              <w:spacing w:line="460" w:lineRule="exact"/>
              <w:jc w:val="left"/>
              <w:rPr>
                <w:rFonts w:ascii="宋体" w:hAnsi="宋体" w:cs="宋体"/>
                <w:szCs w:val="21"/>
              </w:rPr>
            </w:pPr>
            <w:r>
              <w:rPr>
                <w:rFonts w:hint="eastAsia" w:ascii="宋体" w:hAnsi="宋体" w:cs="宋体"/>
                <w:szCs w:val="21"/>
              </w:rPr>
              <w:t>合计：</w:t>
            </w:r>
          </w:p>
        </w:tc>
      </w:tr>
    </w:tbl>
    <w:p>
      <w:pPr>
        <w:snapToGrid w:val="0"/>
        <w:spacing w:line="460" w:lineRule="exact"/>
        <w:ind w:firstLine="420" w:firstLineChars="200"/>
        <w:rPr>
          <w:rFonts w:ascii="宋体" w:hAnsi="宋体" w:cs="宋体"/>
          <w:szCs w:val="21"/>
          <w:highlight w:val="yellow"/>
        </w:rPr>
      </w:pPr>
      <w:r>
        <w:rPr>
          <w:rFonts w:hint="eastAsia" w:ascii="宋体" w:hAnsi="宋体" w:cs="宋体"/>
          <w:szCs w:val="21"/>
        </w:rPr>
        <w:t>2、</w:t>
      </w:r>
      <w:r>
        <w:rPr>
          <w:rFonts w:hint="eastAsia" w:ascii="宋体" w:hAnsi="宋体" w:cs="宋体"/>
          <w:szCs w:val="21"/>
          <w:highlight w:val="yellow"/>
        </w:rPr>
        <w:t>交付时间：自合同签订之日起10日内。</w:t>
      </w:r>
    </w:p>
    <w:p>
      <w:pPr>
        <w:snapToGrid w:val="0"/>
        <w:spacing w:line="460" w:lineRule="exact"/>
        <w:ind w:firstLine="630" w:firstLineChars="300"/>
        <w:rPr>
          <w:rFonts w:ascii="宋体" w:hAnsi="宋体" w:cs="宋体"/>
          <w:szCs w:val="21"/>
          <w:highlight w:val="yellow"/>
        </w:rPr>
      </w:pPr>
      <w:r>
        <w:rPr>
          <w:rFonts w:hint="eastAsia" w:ascii="宋体" w:hAnsi="宋体" w:cs="宋体"/>
          <w:szCs w:val="21"/>
          <w:highlight w:val="yellow"/>
        </w:rPr>
        <w:t>交货地点：采购人指定地点。(广西工商职业技术学院鹏飞校区)。</w:t>
      </w:r>
    </w:p>
    <w:p>
      <w:pPr>
        <w:snapToGrid w:val="0"/>
        <w:spacing w:line="460" w:lineRule="exact"/>
        <w:ind w:firstLine="420" w:firstLineChars="200"/>
        <w:rPr>
          <w:rFonts w:ascii="宋体" w:hAnsi="宋体" w:cs="宋体"/>
          <w:szCs w:val="21"/>
        </w:rPr>
      </w:pPr>
      <w:r>
        <w:rPr>
          <w:rFonts w:hint="eastAsia" w:ascii="宋体" w:hAnsi="宋体" w:cs="宋体"/>
          <w:szCs w:val="21"/>
        </w:rPr>
        <w:t>3、合同合计金额包括材料、人工、保险、税金、培训、售后等一切税金和费用。如招投标文件对其另有规定的，从其规定。</w:t>
      </w:r>
    </w:p>
    <w:p>
      <w:pPr>
        <w:snapToGrid w:val="0"/>
        <w:spacing w:line="460" w:lineRule="exact"/>
        <w:ind w:firstLine="422" w:firstLineChars="200"/>
        <w:rPr>
          <w:rFonts w:ascii="宋体" w:hAnsi="宋体" w:cs="宋体"/>
          <w:b/>
          <w:szCs w:val="21"/>
        </w:rPr>
      </w:pPr>
      <w:r>
        <w:rPr>
          <w:rFonts w:hint="eastAsia" w:ascii="宋体" w:hAnsi="宋体" w:cs="宋体"/>
          <w:b/>
          <w:szCs w:val="21"/>
        </w:rPr>
        <w:t>第二条  质量保证</w:t>
      </w:r>
    </w:p>
    <w:p>
      <w:pPr>
        <w:snapToGrid w:val="0"/>
        <w:spacing w:line="460" w:lineRule="exact"/>
        <w:ind w:firstLine="420" w:firstLineChars="200"/>
        <w:rPr>
          <w:rFonts w:ascii="宋体" w:hAnsi="宋体" w:cs="宋体"/>
          <w:szCs w:val="21"/>
        </w:rPr>
      </w:pPr>
      <w:r>
        <w:rPr>
          <w:rFonts w:hint="eastAsia" w:ascii="宋体" w:hAnsi="宋体" w:cs="宋体"/>
          <w:szCs w:val="21"/>
        </w:rPr>
        <w:t>1、乙方所提供的服务内容必须与招投标文件和承诺相一致。</w:t>
      </w:r>
    </w:p>
    <w:p>
      <w:pPr>
        <w:snapToGrid w:val="0"/>
        <w:spacing w:line="460" w:lineRule="exact"/>
        <w:ind w:firstLine="422" w:firstLineChars="200"/>
        <w:rPr>
          <w:rFonts w:ascii="宋体" w:hAnsi="宋体" w:cs="宋体"/>
          <w:b/>
          <w:szCs w:val="21"/>
        </w:rPr>
      </w:pPr>
      <w:r>
        <w:rPr>
          <w:rFonts w:hint="eastAsia" w:ascii="宋体" w:hAnsi="宋体" w:cs="宋体"/>
          <w:b/>
          <w:szCs w:val="21"/>
        </w:rPr>
        <w:t>第三条  权力保证</w:t>
      </w:r>
    </w:p>
    <w:p>
      <w:pPr>
        <w:snapToGrid w:val="0"/>
        <w:spacing w:line="460" w:lineRule="exact"/>
        <w:ind w:firstLine="420" w:firstLineChars="200"/>
        <w:rPr>
          <w:rFonts w:ascii="宋体" w:hAnsi="宋体" w:cs="宋体"/>
          <w:szCs w:val="21"/>
        </w:rPr>
      </w:pPr>
      <w:r>
        <w:rPr>
          <w:rFonts w:hint="eastAsia" w:ascii="宋体" w:hAnsi="宋体" w:cs="宋体"/>
          <w:szCs w:val="21"/>
        </w:rPr>
        <w:t>1、乙方应保证所提供服务在使用时不会侵犯任何第三方的专利权、商标权、工业设计权或其他权利。</w:t>
      </w:r>
    </w:p>
    <w:p>
      <w:pPr>
        <w:snapToGrid w:val="0"/>
        <w:spacing w:line="460" w:lineRule="exact"/>
        <w:ind w:firstLine="420" w:firstLineChars="200"/>
        <w:rPr>
          <w:rFonts w:ascii="宋体" w:hAnsi="宋体" w:cs="宋体"/>
          <w:szCs w:val="21"/>
        </w:rPr>
      </w:pPr>
      <w:r>
        <w:rPr>
          <w:rFonts w:hint="eastAsia" w:ascii="宋体" w:hAnsi="宋体" w:cs="宋体"/>
          <w:szCs w:val="21"/>
        </w:rPr>
        <w:t>2、乙方应按招标文件（采购文件）规定的时间向甲方提供服务的有关技术资料。</w:t>
      </w:r>
    </w:p>
    <w:p>
      <w:pPr>
        <w:snapToGrid w:val="0"/>
        <w:spacing w:line="460" w:lineRule="exact"/>
        <w:ind w:firstLine="420" w:firstLineChars="200"/>
        <w:rPr>
          <w:rFonts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pPr>
        <w:snapToGrid w:val="0"/>
        <w:spacing w:line="460" w:lineRule="exact"/>
        <w:ind w:firstLine="420" w:firstLineChars="200"/>
        <w:rPr>
          <w:rFonts w:ascii="宋体" w:hAnsi="宋体" w:cs="宋体"/>
          <w:szCs w:val="21"/>
        </w:rPr>
      </w:pPr>
      <w:r>
        <w:rPr>
          <w:rFonts w:hint="eastAsia" w:ascii="宋体" w:hAnsi="宋体" w:cs="宋体"/>
          <w:szCs w:val="21"/>
        </w:rPr>
        <w:t>4、乙方保证所交付的服务的所有权完全属于乙方且无任何抵押、质押、查封等产权瑕疵。</w:t>
      </w:r>
    </w:p>
    <w:p>
      <w:pPr>
        <w:snapToGrid w:val="0"/>
        <w:spacing w:line="460" w:lineRule="exact"/>
        <w:ind w:firstLine="420" w:firstLineChars="200"/>
        <w:rPr>
          <w:rFonts w:ascii="宋体" w:hAnsi="宋体" w:cs="宋体"/>
          <w:strike/>
          <w:szCs w:val="21"/>
          <w:highlight w:val="cyan"/>
        </w:rPr>
      </w:pPr>
      <w:r>
        <w:rPr>
          <w:rFonts w:hint="eastAsia" w:ascii="宋体" w:hAnsi="宋体" w:cs="宋体"/>
          <w:szCs w:val="21"/>
        </w:rPr>
        <w:t>5、甲方负责巡逻工具装备及相关维修费用。</w:t>
      </w:r>
    </w:p>
    <w:p>
      <w:pPr>
        <w:snapToGrid w:val="0"/>
        <w:spacing w:line="460" w:lineRule="exact"/>
        <w:ind w:firstLine="422" w:firstLineChars="200"/>
        <w:rPr>
          <w:rFonts w:ascii="宋体" w:hAnsi="宋体" w:cs="宋体"/>
          <w:b/>
          <w:szCs w:val="21"/>
        </w:rPr>
      </w:pPr>
      <w:r>
        <w:rPr>
          <w:rFonts w:hint="eastAsia" w:ascii="宋体" w:hAnsi="宋体" w:cs="宋体"/>
          <w:b/>
          <w:szCs w:val="21"/>
        </w:rPr>
        <w:t>第四条  履约验收要求</w:t>
      </w:r>
    </w:p>
    <w:p>
      <w:pPr>
        <w:snapToGrid w:val="0"/>
        <w:spacing w:line="460" w:lineRule="exact"/>
        <w:ind w:firstLine="420" w:firstLineChars="200"/>
        <w:rPr>
          <w:szCs w:val="21"/>
          <w:highlight w:val="yellow"/>
        </w:rPr>
      </w:pPr>
      <w:r>
        <w:rPr>
          <w:rFonts w:hint="eastAsia"/>
          <w:szCs w:val="21"/>
          <w:highlight w:val="yellow"/>
        </w:rPr>
        <w:t>1、采购方将严格按照采购文件要求进行验收。验收不合格的，成交供应商需承担被采购人终止合同的一切风险和费用。</w:t>
      </w:r>
    </w:p>
    <w:p>
      <w:pPr>
        <w:snapToGrid w:val="0"/>
        <w:spacing w:line="460" w:lineRule="exact"/>
        <w:ind w:firstLine="422" w:firstLineChars="200"/>
        <w:rPr>
          <w:rFonts w:ascii="宋体" w:hAnsi="宋体" w:cs="宋体"/>
          <w:b/>
          <w:szCs w:val="21"/>
        </w:rPr>
      </w:pPr>
      <w:r>
        <w:rPr>
          <w:rFonts w:hint="eastAsia" w:ascii="宋体" w:hAnsi="宋体" w:cs="宋体"/>
          <w:b/>
          <w:szCs w:val="21"/>
        </w:rPr>
        <w:t>第五条  售后服务、保修期</w:t>
      </w:r>
    </w:p>
    <w:p>
      <w:pPr>
        <w:snapToGrid w:val="0"/>
        <w:spacing w:line="460" w:lineRule="exact"/>
        <w:ind w:firstLine="420" w:firstLineChars="200"/>
        <w:rPr>
          <w:rFonts w:ascii="宋体" w:hAnsi="宋体" w:cs="宋体"/>
          <w:szCs w:val="21"/>
        </w:rPr>
      </w:pPr>
      <w:r>
        <w:rPr>
          <w:rFonts w:hint="eastAsia" w:ascii="宋体" w:hAnsi="宋体" w:cs="宋体"/>
          <w:szCs w:val="21"/>
        </w:rPr>
        <w:t>1、乙方应按照国家有关法律法规和“三包”规定以及招投标文件，为甲方提供售后服务。</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2、乙方提供的服务承诺和售后服务及保修期责任等其它具体约定事项。</w:t>
      </w:r>
    </w:p>
    <w:p>
      <w:pPr>
        <w:snapToGrid w:val="0"/>
        <w:spacing w:line="460" w:lineRule="exact"/>
        <w:ind w:firstLine="420" w:firstLineChars="200"/>
        <w:rPr>
          <w:rFonts w:ascii="宋体" w:hAnsi="宋体" w:cs="宋体"/>
          <w:szCs w:val="21"/>
          <w:highlight w:val="yellow"/>
        </w:rPr>
      </w:pPr>
      <w:r>
        <w:rPr>
          <w:rFonts w:hint="eastAsia" w:ascii="宋体" w:hAnsi="宋体" w:cs="宋体"/>
          <w:szCs w:val="21"/>
          <w:highlight w:val="yellow"/>
        </w:rPr>
        <w:t>3、乙方应按国家有关规定及厂家承诺实行“三包”，要求免费送货上门、免费安装调试至验</w:t>
      </w:r>
      <w:r>
        <w:rPr>
          <w:rFonts w:hint="eastAsia"/>
          <w:szCs w:val="21"/>
          <w:highlight w:val="yellow"/>
        </w:rPr>
        <w:t>收合格。</w:t>
      </w:r>
    </w:p>
    <w:p>
      <w:pPr>
        <w:snapToGrid w:val="0"/>
        <w:spacing w:line="460" w:lineRule="exact"/>
        <w:ind w:firstLine="422" w:firstLineChars="200"/>
        <w:rPr>
          <w:rFonts w:ascii="宋体" w:hAnsi="宋体" w:cs="宋体"/>
          <w:b/>
          <w:szCs w:val="21"/>
        </w:rPr>
      </w:pPr>
      <w:r>
        <w:rPr>
          <w:rFonts w:hint="eastAsia" w:ascii="宋体" w:hAnsi="宋体" w:cs="宋体"/>
          <w:b/>
          <w:szCs w:val="21"/>
        </w:rPr>
        <w:t>第六条　付款方式</w:t>
      </w:r>
    </w:p>
    <w:p>
      <w:pPr>
        <w:snapToGrid w:val="0"/>
        <w:spacing w:line="460" w:lineRule="exact"/>
        <w:ind w:firstLine="420" w:firstLineChars="200"/>
        <w:rPr>
          <w:rFonts w:ascii="宋体" w:hAnsi="宋体" w:cs="宋体"/>
          <w:szCs w:val="21"/>
          <w:highlight w:val="yellow"/>
        </w:rPr>
      </w:pPr>
      <w:r>
        <w:rPr>
          <w:rFonts w:hint="eastAsia" w:ascii="宋体" w:hAnsi="宋体" w:cs="宋体"/>
          <w:szCs w:val="21"/>
          <w:highlight w:val="yellow"/>
        </w:rPr>
        <w:t>1、验收合格后，采购人在10日内支付合同款金额100%给成交供应商（成交供应商需开具合法有效发票给采购人）。</w:t>
      </w:r>
    </w:p>
    <w:p>
      <w:pPr>
        <w:pStyle w:val="2"/>
      </w:pPr>
      <w:r>
        <w:rPr>
          <w:rFonts w:hint="eastAsia" w:ascii="宋体" w:hAnsi="宋体" w:cs="宋体"/>
          <w:b/>
          <w:szCs w:val="21"/>
        </w:rPr>
        <w:t>第七条  包装与运输</w:t>
      </w:r>
    </w:p>
    <w:p>
      <w:pPr>
        <w:snapToGrid w:val="0"/>
        <w:spacing w:line="460" w:lineRule="exact"/>
        <w:ind w:firstLine="420" w:firstLineChars="200"/>
        <w:rPr>
          <w:rFonts w:ascii="宋体" w:hAnsi="宋体" w:cs="宋体"/>
          <w:b/>
          <w:szCs w:val="21"/>
          <w:highlight w:val="yellow"/>
        </w:rPr>
      </w:pPr>
      <w:r>
        <w:rPr>
          <w:rFonts w:hint="eastAsia"/>
          <w:szCs w:val="21"/>
          <w:highlight w:val="yellow"/>
        </w:rPr>
        <w:t>1、成交供应商妥善包装，合理安排运输工具，避免在搬运和运输中损伤货物。</w:t>
      </w:r>
    </w:p>
    <w:p>
      <w:pPr>
        <w:snapToGrid w:val="0"/>
        <w:spacing w:line="460" w:lineRule="exact"/>
        <w:ind w:firstLine="422" w:firstLineChars="200"/>
        <w:rPr>
          <w:rFonts w:ascii="宋体" w:hAnsi="宋体" w:cs="宋体"/>
          <w:b/>
          <w:szCs w:val="21"/>
        </w:rPr>
      </w:pPr>
      <w:r>
        <w:rPr>
          <w:rFonts w:hint="eastAsia" w:ascii="宋体" w:hAnsi="宋体" w:cs="宋体"/>
          <w:b/>
          <w:szCs w:val="21"/>
        </w:rPr>
        <w:t>第八条  本合同执行中相关的一切税费均由乙方负担。</w:t>
      </w:r>
    </w:p>
    <w:p>
      <w:pPr>
        <w:snapToGrid w:val="0"/>
        <w:spacing w:line="460" w:lineRule="exact"/>
        <w:ind w:firstLine="422" w:firstLineChars="200"/>
        <w:rPr>
          <w:rFonts w:ascii="宋体" w:hAnsi="宋体" w:cs="宋体"/>
          <w:b/>
          <w:szCs w:val="21"/>
        </w:rPr>
      </w:pPr>
      <w:r>
        <w:rPr>
          <w:rFonts w:hint="eastAsia" w:ascii="宋体" w:hAnsi="宋体" w:cs="宋体"/>
          <w:b/>
          <w:szCs w:val="21"/>
        </w:rPr>
        <w:t>第九条  不可抗力事件处理</w:t>
      </w:r>
    </w:p>
    <w:p>
      <w:pPr>
        <w:snapToGrid w:val="0"/>
        <w:spacing w:line="460" w:lineRule="exact"/>
        <w:ind w:firstLine="420" w:firstLineChars="200"/>
        <w:rPr>
          <w:rFonts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pPr>
        <w:snapToGrid w:val="0"/>
        <w:spacing w:line="460" w:lineRule="exact"/>
        <w:ind w:firstLine="420" w:firstLineChars="200"/>
        <w:rPr>
          <w:rFonts w:ascii="宋体" w:hAnsi="宋体" w:cs="宋体"/>
          <w:szCs w:val="21"/>
        </w:rPr>
      </w:pPr>
      <w:r>
        <w:rPr>
          <w:rFonts w:hint="eastAsia" w:ascii="宋体" w:hAnsi="宋体" w:cs="宋体"/>
          <w:szCs w:val="21"/>
        </w:rPr>
        <w:t>2、不可抗力事件发生后，应立即通知对方，并寄送有关权威机构出具的证明。</w:t>
      </w:r>
    </w:p>
    <w:p>
      <w:pPr>
        <w:snapToGrid w:val="0"/>
        <w:spacing w:line="460" w:lineRule="exact"/>
        <w:ind w:firstLine="420" w:firstLineChars="200"/>
        <w:rPr>
          <w:rFonts w:ascii="宋体" w:hAnsi="宋体" w:cs="宋体"/>
          <w:szCs w:val="21"/>
        </w:rPr>
      </w:pPr>
      <w:r>
        <w:rPr>
          <w:rFonts w:hint="eastAsia" w:ascii="宋体" w:hAnsi="宋体" w:cs="宋体"/>
          <w:szCs w:val="21"/>
        </w:rPr>
        <w:t>3、不可抗力事件延续120天以上，双方应通过友好协商，确定是否继续履行合同。</w:t>
      </w:r>
    </w:p>
    <w:p>
      <w:pPr>
        <w:snapToGrid w:val="0"/>
        <w:spacing w:line="460" w:lineRule="exact"/>
        <w:ind w:firstLine="422" w:firstLineChars="200"/>
        <w:rPr>
          <w:rFonts w:ascii="宋体" w:hAnsi="宋体" w:cs="宋体"/>
          <w:b/>
          <w:szCs w:val="21"/>
        </w:rPr>
      </w:pPr>
      <w:r>
        <w:rPr>
          <w:rFonts w:hint="eastAsia" w:ascii="宋体" w:hAnsi="宋体" w:cs="宋体"/>
          <w:b/>
          <w:szCs w:val="21"/>
        </w:rPr>
        <w:t>第十条  合同争议解决</w:t>
      </w:r>
    </w:p>
    <w:p>
      <w:pPr>
        <w:snapToGrid w:val="0"/>
        <w:spacing w:line="460" w:lineRule="exact"/>
        <w:ind w:firstLine="420" w:firstLineChars="200"/>
        <w:rPr>
          <w:rFonts w:ascii="宋体" w:hAnsi="宋体" w:cs="宋体"/>
          <w:szCs w:val="21"/>
        </w:rPr>
      </w:pPr>
      <w:r>
        <w:rPr>
          <w:rFonts w:hint="eastAsia" w:ascii="宋体" w:hAnsi="宋体" w:cs="宋体"/>
          <w:szCs w:val="21"/>
        </w:rPr>
        <w:t>1、因履行本合同引起的或与本合同有关的争议，甲乙双方应首先通过友好协商解决，如果协商不能解决，可向仲裁委员会申请仲裁或向人民法院提起诉讼。</w:t>
      </w:r>
    </w:p>
    <w:p>
      <w:pPr>
        <w:snapToGrid w:val="0"/>
        <w:spacing w:line="460" w:lineRule="exact"/>
        <w:ind w:firstLine="420" w:firstLineChars="200"/>
        <w:rPr>
          <w:rFonts w:ascii="宋体" w:hAnsi="宋体" w:cs="宋体"/>
          <w:szCs w:val="21"/>
        </w:rPr>
      </w:pPr>
      <w:r>
        <w:rPr>
          <w:rFonts w:hint="eastAsia" w:ascii="宋体" w:hAnsi="宋体" w:cs="宋体"/>
          <w:szCs w:val="21"/>
        </w:rPr>
        <w:t>2、诉讼期间，本合同继续履行。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第十一条  诉讼</w:t>
      </w:r>
    </w:p>
    <w:p>
      <w:pPr>
        <w:snapToGrid w:val="0"/>
        <w:spacing w:line="460" w:lineRule="exact"/>
        <w:ind w:firstLine="420" w:firstLineChars="200"/>
        <w:rPr>
          <w:rFonts w:ascii="宋体" w:hAnsi="宋体" w:cs="宋体"/>
          <w:szCs w:val="21"/>
        </w:rPr>
      </w:pPr>
      <w:r>
        <w:rPr>
          <w:rFonts w:hint="eastAsia" w:ascii="宋体" w:hAnsi="宋体" w:cs="宋体"/>
          <w:szCs w:val="21"/>
        </w:rPr>
        <w:t>双方在执行合同中所发生的一切争议，应通过协商解决。如果协商不能解决，可向仲裁委员会申请仲裁或向人民法院提起诉讼。</w:t>
      </w:r>
    </w:p>
    <w:p>
      <w:pPr>
        <w:snapToGrid w:val="0"/>
        <w:spacing w:line="460" w:lineRule="exact"/>
        <w:ind w:firstLine="422" w:firstLineChars="200"/>
        <w:rPr>
          <w:rFonts w:ascii="宋体" w:hAnsi="宋体" w:cs="宋体"/>
          <w:b/>
          <w:szCs w:val="21"/>
        </w:rPr>
      </w:pPr>
      <w:r>
        <w:rPr>
          <w:rFonts w:hint="eastAsia" w:ascii="宋体" w:hAnsi="宋体" w:cs="宋体"/>
          <w:b/>
          <w:szCs w:val="21"/>
        </w:rPr>
        <w:t>第十二条  合同生效及其它</w:t>
      </w:r>
    </w:p>
    <w:p>
      <w:pPr>
        <w:snapToGrid w:val="0"/>
        <w:spacing w:line="460" w:lineRule="exact"/>
        <w:ind w:firstLine="420" w:firstLineChars="200"/>
        <w:rPr>
          <w:rFonts w:ascii="宋体" w:hAnsi="宋体" w:cs="宋体"/>
          <w:szCs w:val="21"/>
        </w:rPr>
      </w:pPr>
      <w:r>
        <w:rPr>
          <w:rFonts w:hint="eastAsia" w:ascii="宋体" w:hAnsi="宋体" w:cs="宋体"/>
          <w:szCs w:val="21"/>
        </w:rPr>
        <w:t>1、合同经双方法定代表人或授权代表签字并加盖单位公章后生效。</w:t>
      </w:r>
    </w:p>
    <w:p>
      <w:pPr>
        <w:snapToGrid w:val="0"/>
        <w:spacing w:line="460" w:lineRule="exact"/>
        <w:ind w:firstLine="420" w:firstLineChars="200"/>
        <w:rPr>
          <w:rFonts w:ascii="宋体" w:hAnsi="宋体" w:cs="宋体"/>
          <w:szCs w:val="21"/>
        </w:rPr>
      </w:pPr>
      <w:r>
        <w:rPr>
          <w:rFonts w:hint="eastAsia" w:ascii="宋体" w:hAnsi="宋体" w:cs="宋体"/>
          <w:szCs w:val="21"/>
        </w:rPr>
        <w:t>2、合同执行中涉及采购资金和采购内容修改或补充的，须经相关部门审批，并签书面补充协议报相关部门备案，方可作为主合同不可分割的一部分。</w:t>
      </w:r>
    </w:p>
    <w:p>
      <w:pPr>
        <w:snapToGrid w:val="0"/>
        <w:spacing w:line="460" w:lineRule="exact"/>
        <w:ind w:firstLine="420" w:firstLineChars="200"/>
        <w:rPr>
          <w:rFonts w:ascii="宋体" w:hAnsi="宋体" w:cs="宋体"/>
          <w:szCs w:val="21"/>
        </w:rPr>
      </w:pPr>
      <w:r>
        <w:rPr>
          <w:rFonts w:hint="eastAsia" w:ascii="宋体" w:hAnsi="宋体" w:cs="宋体"/>
          <w:szCs w:val="21"/>
        </w:rPr>
        <w:t>3、本合同未尽事宜，遵照《民法典》有关条文执行。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第十三条　合同的变更、终止与转让</w:t>
      </w:r>
    </w:p>
    <w:p>
      <w:pPr>
        <w:snapToGrid w:val="0"/>
        <w:spacing w:line="460" w:lineRule="exact"/>
        <w:ind w:firstLine="420" w:firstLineChars="200"/>
        <w:rPr>
          <w:rFonts w:ascii="宋体" w:hAnsi="宋体" w:cs="宋体"/>
          <w:szCs w:val="21"/>
        </w:rPr>
      </w:pPr>
      <w:r>
        <w:rPr>
          <w:rFonts w:hint="eastAsia" w:ascii="宋体" w:hAnsi="宋体" w:cs="宋体"/>
          <w:szCs w:val="21"/>
        </w:rPr>
        <w:t>1、本合同一经签订，甲乙双方不得擅自变更、中止或终止。</w:t>
      </w:r>
    </w:p>
    <w:p>
      <w:pPr>
        <w:snapToGrid w:val="0"/>
        <w:spacing w:line="460" w:lineRule="exact"/>
        <w:ind w:firstLine="420" w:firstLineChars="200"/>
        <w:rPr>
          <w:rFonts w:ascii="宋体" w:hAnsi="宋体" w:cs="宋体"/>
          <w:szCs w:val="21"/>
        </w:rPr>
      </w:pPr>
      <w:r>
        <w:rPr>
          <w:rFonts w:hint="eastAsia" w:ascii="宋体" w:hAnsi="宋体" w:cs="宋体"/>
          <w:szCs w:val="21"/>
        </w:rPr>
        <w:t>2、乙方不得擅自转让其应履行的合同义务。</w:t>
      </w:r>
    </w:p>
    <w:p>
      <w:pPr>
        <w:snapToGrid w:val="0"/>
        <w:spacing w:line="460" w:lineRule="exact"/>
        <w:ind w:firstLine="422" w:firstLineChars="200"/>
        <w:rPr>
          <w:rFonts w:ascii="宋体" w:hAnsi="宋体" w:cs="宋体"/>
          <w:b/>
          <w:szCs w:val="21"/>
        </w:rPr>
      </w:pPr>
      <w:r>
        <w:rPr>
          <w:rFonts w:hint="eastAsia" w:ascii="宋体" w:hAnsi="宋体" w:cs="宋体"/>
          <w:b/>
          <w:szCs w:val="21"/>
        </w:rPr>
        <w:t>第十四条　签订本合同依据</w:t>
      </w:r>
    </w:p>
    <w:p>
      <w:pPr>
        <w:snapToGrid w:val="0"/>
        <w:spacing w:line="460" w:lineRule="exact"/>
        <w:ind w:firstLine="420" w:firstLineChars="200"/>
        <w:rPr>
          <w:rFonts w:ascii="宋体" w:hAnsi="宋体" w:cs="宋体"/>
          <w:szCs w:val="21"/>
        </w:rPr>
      </w:pPr>
      <w:r>
        <w:rPr>
          <w:rFonts w:hint="eastAsia" w:ascii="宋体" w:hAnsi="宋体" w:cs="宋体"/>
          <w:szCs w:val="21"/>
        </w:rPr>
        <w:t>1、竞争性磋商文件；</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2、乙方提供的投标（响应）文件；</w:t>
      </w:r>
    </w:p>
    <w:p>
      <w:pPr>
        <w:snapToGrid w:val="0"/>
        <w:spacing w:line="460" w:lineRule="exact"/>
        <w:ind w:firstLine="420" w:firstLineChars="200"/>
        <w:rPr>
          <w:rFonts w:ascii="宋体" w:hAnsi="宋体" w:cs="宋体"/>
          <w:szCs w:val="21"/>
        </w:rPr>
      </w:pPr>
      <w:r>
        <w:rPr>
          <w:rFonts w:hint="eastAsia" w:ascii="宋体" w:hAnsi="宋体" w:cs="宋体"/>
          <w:szCs w:val="21"/>
        </w:rPr>
        <w:t>3、投标</w:t>
      </w:r>
      <w:r>
        <w:rPr>
          <w:rStyle w:val="22"/>
          <w:rFonts w:hint="eastAsia"/>
        </w:rPr>
        <w:t>（响应）</w:t>
      </w:r>
      <w:r>
        <w:rPr>
          <w:rFonts w:hint="eastAsia" w:ascii="宋体" w:hAnsi="宋体" w:cs="宋体"/>
          <w:szCs w:val="21"/>
        </w:rPr>
        <w:t>承诺书；</w:t>
      </w:r>
    </w:p>
    <w:p>
      <w:pPr>
        <w:snapToGrid w:val="0"/>
        <w:spacing w:line="460" w:lineRule="exact"/>
        <w:ind w:firstLine="420" w:firstLineChars="200"/>
        <w:rPr>
          <w:rFonts w:ascii="宋体" w:hAnsi="宋体" w:cs="宋体"/>
          <w:szCs w:val="21"/>
        </w:rPr>
      </w:pPr>
      <w:r>
        <w:rPr>
          <w:rFonts w:hint="eastAsia" w:ascii="宋体" w:hAnsi="宋体" w:cs="宋体"/>
          <w:szCs w:val="21"/>
        </w:rPr>
        <w:t>4、成交通知书。</w:t>
      </w:r>
    </w:p>
    <w:p>
      <w:pPr>
        <w:snapToGrid w:val="0"/>
        <w:spacing w:line="460" w:lineRule="exact"/>
        <w:ind w:firstLine="422" w:firstLineChars="200"/>
        <w:rPr>
          <w:rFonts w:ascii="宋体" w:hAnsi="宋体" w:cs="宋体"/>
          <w:b/>
          <w:szCs w:val="21"/>
        </w:rPr>
      </w:pPr>
      <w:r>
        <w:rPr>
          <w:rFonts w:hint="eastAsia" w:ascii="宋体" w:hAnsi="宋体" w:cs="宋体"/>
          <w:b/>
          <w:szCs w:val="21"/>
        </w:rPr>
        <w:t>第十五条　本合同一式</w:t>
      </w:r>
      <w:r>
        <w:rPr>
          <w:rFonts w:hint="eastAsia" w:ascii="宋体" w:hAnsi="宋体" w:cs="宋体"/>
          <w:b/>
          <w:szCs w:val="21"/>
          <w:highlight w:val="yellow"/>
        </w:rPr>
        <w:t>柒</w:t>
      </w:r>
      <w:r>
        <w:rPr>
          <w:rFonts w:hint="eastAsia" w:ascii="宋体" w:hAnsi="宋体" w:cs="宋体"/>
          <w:b/>
          <w:szCs w:val="21"/>
        </w:rPr>
        <w:t>份，具有同等法律效力，甲方执</w:t>
      </w:r>
      <w:r>
        <w:rPr>
          <w:rFonts w:hint="eastAsia" w:ascii="宋体" w:hAnsi="宋体" w:cs="宋体"/>
          <w:b/>
          <w:szCs w:val="21"/>
          <w:highlight w:val="yellow"/>
        </w:rPr>
        <w:t>伍</w:t>
      </w:r>
      <w:r>
        <w:rPr>
          <w:rFonts w:hint="eastAsia" w:ascii="宋体" w:hAnsi="宋体" w:cs="宋体"/>
          <w:b/>
          <w:szCs w:val="21"/>
        </w:rPr>
        <w:t>份，乙方执</w:t>
      </w:r>
      <w:r>
        <w:rPr>
          <w:rFonts w:hint="eastAsia" w:ascii="宋体" w:hAnsi="宋体" w:cs="宋体"/>
          <w:b/>
          <w:szCs w:val="21"/>
          <w:highlight w:val="yellow"/>
        </w:rPr>
        <w:t>贰</w:t>
      </w:r>
      <w:r>
        <w:rPr>
          <w:rFonts w:hint="eastAsia" w:ascii="宋体" w:hAnsi="宋体" w:cs="宋体"/>
          <w:b/>
          <w:szCs w:val="21"/>
        </w:rPr>
        <w:t>份（可根据需要另增加）。</w:t>
      </w:r>
    </w:p>
    <w:p>
      <w:pPr>
        <w:snapToGrid w:val="0"/>
        <w:spacing w:line="460" w:lineRule="exact"/>
        <w:ind w:firstLine="420" w:firstLineChars="200"/>
        <w:rPr>
          <w:rFonts w:ascii="宋体" w:hAnsi="宋体" w:cs="宋体"/>
          <w:szCs w:val="21"/>
        </w:rPr>
      </w:pPr>
      <w:r>
        <w:rPr>
          <w:rFonts w:hint="eastAsia" w:ascii="宋体" w:hAnsi="宋体" w:cs="宋体"/>
          <w:szCs w:val="21"/>
        </w:rPr>
        <w:t>本合同甲乙双方签字盖章后生效。</w:t>
      </w:r>
    </w:p>
    <w:tbl>
      <w:tblPr>
        <w:tblStyle w:val="17"/>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甲方（章）           </w:t>
            </w:r>
          </w:p>
          <w:p>
            <w:pPr>
              <w:snapToGrid w:val="0"/>
              <w:spacing w:line="460" w:lineRule="exact"/>
              <w:ind w:firstLine="945" w:firstLineChars="450"/>
              <w:jc w:val="right"/>
              <w:rPr>
                <w:rFonts w:ascii="宋体" w:hAnsi="宋体" w:cs="宋体"/>
                <w:szCs w:val="21"/>
              </w:rPr>
            </w:pPr>
            <w:r>
              <w:rPr>
                <w:rFonts w:hint="eastAsia" w:ascii="宋体" w:hAnsi="宋体" w:cs="宋体"/>
                <w:szCs w:val="21"/>
              </w:rPr>
              <w:t>年   月   日</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乙方（章）              </w:t>
            </w:r>
          </w:p>
          <w:p>
            <w:pPr>
              <w:snapToGrid w:val="0"/>
              <w:spacing w:line="460" w:lineRule="exact"/>
              <w:jc w:val="right"/>
              <w:rPr>
                <w:rFonts w:ascii="宋体" w:hAnsi="宋体" w:cs="宋体"/>
                <w:szCs w:val="21"/>
              </w:rPr>
            </w:pPr>
            <w:r>
              <w:rPr>
                <w:rFonts w:hint="eastAsia" w:ascii="宋体" w:hAnsi="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单位地址： </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r>
    </w:tbl>
    <w:p>
      <w:pPr>
        <w:adjustRightInd w:val="0"/>
        <w:snapToGrid w:val="0"/>
        <w:spacing w:line="360" w:lineRule="auto"/>
        <w:jc w:val="left"/>
        <w:rPr>
          <w:rFonts w:ascii="宋体" w:hAnsi="宋体" w:cs="宋体"/>
          <w:szCs w:val="21"/>
        </w:rPr>
        <w:sectPr>
          <w:footerReference r:id="rId4" w:type="default"/>
          <w:footnotePr>
            <w:numFmt w:val="decimalEnclosedCircleChinese"/>
            <w:numRestart w:val="eachPage"/>
          </w:footnotePr>
          <w:pgSz w:w="11906" w:h="16838"/>
          <w:pgMar w:top="2098" w:right="1474" w:bottom="1984" w:left="1587" w:header="1134" w:footer="1644" w:gutter="0"/>
          <w:cols w:space="720" w:num="1"/>
          <w:docGrid w:type="lines" w:linePitch="312" w:charSpace="0"/>
        </w:sectPr>
      </w:pPr>
    </w:p>
    <w:p>
      <w:pPr>
        <w:spacing w:line="500" w:lineRule="exact"/>
        <w:rPr>
          <w:rFonts w:asciiTheme="majorEastAsia" w:hAnsiTheme="majorEastAsia" w:eastAsiaTheme="majorEastAsia"/>
          <w:b/>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0785AC-4F6E-4762-AE3C-672C271982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embedRegular r:id="rId2" w:fontKey="{B52E6DE2-9AE4-48DB-8D97-0EF24DF42236}"/>
  </w:font>
  <w:font w:name="仿宋">
    <w:panose1 w:val="02010609060101010101"/>
    <w:charset w:val="86"/>
    <w:family w:val="modern"/>
    <w:pitch w:val="default"/>
    <w:sig w:usb0="800002BF" w:usb1="38CF7CFA" w:usb2="00000016" w:usb3="00000000" w:csb0="00040001" w:csb1="00000000"/>
    <w:embedRegular r:id="rId3" w:fontKey="{F4A5847F-2FE7-4EF7-8A88-BCC1CC0341A3}"/>
  </w:font>
  <w:font w:name="Arial">
    <w:panose1 w:val="020B0604020202020204"/>
    <w:charset w:val="00"/>
    <w:family w:val="swiss"/>
    <w:pitch w:val="default"/>
    <w:sig w:usb0="E0002AFF" w:usb1="C0007843" w:usb2="00000009" w:usb3="00000000" w:csb0="400001FF" w:csb1="FFFF0000"/>
    <w:embedRegular r:id="rId4" w:fontKey="{5C9CAF01-756F-4C41-A900-73B3E6396A6C}"/>
  </w:font>
  <w:font w:name="方正小标宋简体">
    <w:altName w:val="微软雅黑"/>
    <w:panose1 w:val="00000000000000000000"/>
    <w:charset w:val="86"/>
    <w:family w:val="script"/>
    <w:pitch w:val="default"/>
    <w:sig w:usb0="00000000" w:usb1="00000000" w:usb2="00000010" w:usb3="00000000" w:csb0="00040000" w:csb1="00000000"/>
    <w:embedRegular r:id="rId5" w:fontKey="{0B408D02-C70C-4CD5-8A83-8F7FD48EA75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3"/>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GALMf5AQAAAQ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jizwlDDn9QQ2CcY2Cq60ztfUNKjo7Qw&#10;0HHMjEq9uwf50zMLd62wB3WLCH2rRE3s8vgye/Z0xPERpOq/Qk1lxDFAAhoaNBGQzGCETp05XzoT&#10;qchYMl9/vLrmTNJVfpWv19epgijmxw59+KzAsBiUHKnxCVyc7n2IZEQxp8RaFva661LzO/vXASXG&#10;k0Q+8h2Zh6EaJjMqqM8kA2GcJfpJFLSAvzjraY5KbunbcNZ9sWREHLk5wDmo5kBYSQ9LHjgbw7sw&#10;jubRoT60hDtbfUtm7XUSEl0dOUwsaTKSvmmK4+g936esPz93+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5X5J0AAAAAMBAAAPAAAAAAAAAAEAIAAAACIAAABkcnMvZG93bnJldi54bWxQSwECFAAU&#10;AAAACACHTuJAgYAsx/kBAAABBAAADgAAAAAAAAABACAAAAAfAQAAZHJzL2Uyb0RvYy54bWxQSwUG&#10;AAAAAAYABgBZAQAAig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yMDk1MTEzYmZmZDdlMmViM2MyNTlmNGIwMTQzODEifQ=="/>
  </w:docVars>
  <w:rsids>
    <w:rsidRoot w:val="0087717D"/>
    <w:rsid w:val="00001137"/>
    <w:rsid w:val="00004048"/>
    <w:rsid w:val="00005022"/>
    <w:rsid w:val="00005B53"/>
    <w:rsid w:val="000071F8"/>
    <w:rsid w:val="0000755F"/>
    <w:rsid w:val="000115F8"/>
    <w:rsid w:val="00014713"/>
    <w:rsid w:val="000229F0"/>
    <w:rsid w:val="00025C1B"/>
    <w:rsid w:val="00030618"/>
    <w:rsid w:val="00033A2A"/>
    <w:rsid w:val="00042071"/>
    <w:rsid w:val="00045722"/>
    <w:rsid w:val="000458C5"/>
    <w:rsid w:val="00047B8A"/>
    <w:rsid w:val="00051EF0"/>
    <w:rsid w:val="000665DD"/>
    <w:rsid w:val="00066809"/>
    <w:rsid w:val="00076975"/>
    <w:rsid w:val="00076ED4"/>
    <w:rsid w:val="00082B6E"/>
    <w:rsid w:val="00083B1A"/>
    <w:rsid w:val="000868A4"/>
    <w:rsid w:val="000909C5"/>
    <w:rsid w:val="00090E04"/>
    <w:rsid w:val="00091CF6"/>
    <w:rsid w:val="00093994"/>
    <w:rsid w:val="000A1481"/>
    <w:rsid w:val="000A22CD"/>
    <w:rsid w:val="000A2FC3"/>
    <w:rsid w:val="000B1FE7"/>
    <w:rsid w:val="000C08AC"/>
    <w:rsid w:val="000C44A9"/>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095D"/>
    <w:rsid w:val="001410B2"/>
    <w:rsid w:val="0014517F"/>
    <w:rsid w:val="001475EE"/>
    <w:rsid w:val="00150714"/>
    <w:rsid w:val="0015139F"/>
    <w:rsid w:val="00152212"/>
    <w:rsid w:val="00153DD0"/>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353D"/>
    <w:rsid w:val="001F5E5B"/>
    <w:rsid w:val="002058D3"/>
    <w:rsid w:val="0021444D"/>
    <w:rsid w:val="00216674"/>
    <w:rsid w:val="00220BBC"/>
    <w:rsid w:val="00226FCD"/>
    <w:rsid w:val="0023043B"/>
    <w:rsid w:val="00231D73"/>
    <w:rsid w:val="00241965"/>
    <w:rsid w:val="002446AB"/>
    <w:rsid w:val="00250554"/>
    <w:rsid w:val="002541E8"/>
    <w:rsid w:val="00262B18"/>
    <w:rsid w:val="00263E5B"/>
    <w:rsid w:val="0027393B"/>
    <w:rsid w:val="002865BB"/>
    <w:rsid w:val="002958AA"/>
    <w:rsid w:val="00297CE7"/>
    <w:rsid w:val="002A3E64"/>
    <w:rsid w:val="002A4034"/>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288"/>
    <w:rsid w:val="0031439C"/>
    <w:rsid w:val="0031668E"/>
    <w:rsid w:val="003173F9"/>
    <w:rsid w:val="00317534"/>
    <w:rsid w:val="00323766"/>
    <w:rsid w:val="003340C7"/>
    <w:rsid w:val="00340842"/>
    <w:rsid w:val="00341769"/>
    <w:rsid w:val="00341EE2"/>
    <w:rsid w:val="003504BB"/>
    <w:rsid w:val="00353F6C"/>
    <w:rsid w:val="003554C1"/>
    <w:rsid w:val="003576A1"/>
    <w:rsid w:val="003619EB"/>
    <w:rsid w:val="003634AA"/>
    <w:rsid w:val="003639DF"/>
    <w:rsid w:val="00363EB7"/>
    <w:rsid w:val="003721BB"/>
    <w:rsid w:val="00393AE4"/>
    <w:rsid w:val="00393B96"/>
    <w:rsid w:val="003953A7"/>
    <w:rsid w:val="00397190"/>
    <w:rsid w:val="003A7AB5"/>
    <w:rsid w:val="003B4A99"/>
    <w:rsid w:val="003C1A58"/>
    <w:rsid w:val="003C1FB7"/>
    <w:rsid w:val="003C505D"/>
    <w:rsid w:val="003D0201"/>
    <w:rsid w:val="003D7C45"/>
    <w:rsid w:val="003E685F"/>
    <w:rsid w:val="003F3048"/>
    <w:rsid w:val="00402252"/>
    <w:rsid w:val="00405818"/>
    <w:rsid w:val="00415D58"/>
    <w:rsid w:val="00416F0C"/>
    <w:rsid w:val="004207F9"/>
    <w:rsid w:val="00421C6A"/>
    <w:rsid w:val="004221C9"/>
    <w:rsid w:val="00425D7F"/>
    <w:rsid w:val="004262EF"/>
    <w:rsid w:val="00426325"/>
    <w:rsid w:val="004264B1"/>
    <w:rsid w:val="00430571"/>
    <w:rsid w:val="004306BC"/>
    <w:rsid w:val="00434DE1"/>
    <w:rsid w:val="00435BE4"/>
    <w:rsid w:val="00437AE2"/>
    <w:rsid w:val="00440129"/>
    <w:rsid w:val="00440FED"/>
    <w:rsid w:val="00447F8C"/>
    <w:rsid w:val="00450D7A"/>
    <w:rsid w:val="004525D9"/>
    <w:rsid w:val="00455181"/>
    <w:rsid w:val="00455697"/>
    <w:rsid w:val="00456C1A"/>
    <w:rsid w:val="004664A6"/>
    <w:rsid w:val="00470386"/>
    <w:rsid w:val="004715BA"/>
    <w:rsid w:val="004733E3"/>
    <w:rsid w:val="00474794"/>
    <w:rsid w:val="004776CC"/>
    <w:rsid w:val="004824B0"/>
    <w:rsid w:val="004830EE"/>
    <w:rsid w:val="00483368"/>
    <w:rsid w:val="00485CBB"/>
    <w:rsid w:val="00490819"/>
    <w:rsid w:val="004932F8"/>
    <w:rsid w:val="00493C06"/>
    <w:rsid w:val="00497DB2"/>
    <w:rsid w:val="004A0AD4"/>
    <w:rsid w:val="004A2023"/>
    <w:rsid w:val="004A5C9E"/>
    <w:rsid w:val="004A5DC0"/>
    <w:rsid w:val="004A6895"/>
    <w:rsid w:val="004B069F"/>
    <w:rsid w:val="004D2510"/>
    <w:rsid w:val="004D6E07"/>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91C93"/>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0AF6"/>
    <w:rsid w:val="00652A60"/>
    <w:rsid w:val="00656EF9"/>
    <w:rsid w:val="006713ED"/>
    <w:rsid w:val="00671BDD"/>
    <w:rsid w:val="00672CD7"/>
    <w:rsid w:val="00687915"/>
    <w:rsid w:val="00690B41"/>
    <w:rsid w:val="0069142F"/>
    <w:rsid w:val="00692A3E"/>
    <w:rsid w:val="0069352B"/>
    <w:rsid w:val="00695F97"/>
    <w:rsid w:val="006A0A76"/>
    <w:rsid w:val="006A284E"/>
    <w:rsid w:val="006A4729"/>
    <w:rsid w:val="006B3C41"/>
    <w:rsid w:val="006B66E7"/>
    <w:rsid w:val="006B727D"/>
    <w:rsid w:val="006C739F"/>
    <w:rsid w:val="006D46C4"/>
    <w:rsid w:val="006E17D9"/>
    <w:rsid w:val="006E47B2"/>
    <w:rsid w:val="006F0F43"/>
    <w:rsid w:val="006F234A"/>
    <w:rsid w:val="006F32A0"/>
    <w:rsid w:val="006F5487"/>
    <w:rsid w:val="00701CFA"/>
    <w:rsid w:val="00703718"/>
    <w:rsid w:val="00705D71"/>
    <w:rsid w:val="00707065"/>
    <w:rsid w:val="00714CDC"/>
    <w:rsid w:val="0071671A"/>
    <w:rsid w:val="00717151"/>
    <w:rsid w:val="00724D9A"/>
    <w:rsid w:val="00733AB8"/>
    <w:rsid w:val="00754E9D"/>
    <w:rsid w:val="00755B49"/>
    <w:rsid w:val="007560A6"/>
    <w:rsid w:val="00760456"/>
    <w:rsid w:val="00770398"/>
    <w:rsid w:val="00777232"/>
    <w:rsid w:val="00784BD4"/>
    <w:rsid w:val="00787C07"/>
    <w:rsid w:val="0079001C"/>
    <w:rsid w:val="00790DA2"/>
    <w:rsid w:val="007953AD"/>
    <w:rsid w:val="007A4968"/>
    <w:rsid w:val="007A62A8"/>
    <w:rsid w:val="007A7137"/>
    <w:rsid w:val="007A7214"/>
    <w:rsid w:val="007B126C"/>
    <w:rsid w:val="007B22F9"/>
    <w:rsid w:val="007B31BF"/>
    <w:rsid w:val="007B597D"/>
    <w:rsid w:val="007C1698"/>
    <w:rsid w:val="007C3016"/>
    <w:rsid w:val="007C752A"/>
    <w:rsid w:val="007D01A2"/>
    <w:rsid w:val="007D04D6"/>
    <w:rsid w:val="007D2F1E"/>
    <w:rsid w:val="007E66F8"/>
    <w:rsid w:val="007E73C5"/>
    <w:rsid w:val="007F0568"/>
    <w:rsid w:val="007F077D"/>
    <w:rsid w:val="007F2C4E"/>
    <w:rsid w:val="007F645A"/>
    <w:rsid w:val="00802DD5"/>
    <w:rsid w:val="00803B2F"/>
    <w:rsid w:val="00806971"/>
    <w:rsid w:val="00811FA8"/>
    <w:rsid w:val="00812D4D"/>
    <w:rsid w:val="00813568"/>
    <w:rsid w:val="0081736E"/>
    <w:rsid w:val="00825D3B"/>
    <w:rsid w:val="00827317"/>
    <w:rsid w:val="00832F11"/>
    <w:rsid w:val="00836EDF"/>
    <w:rsid w:val="00840985"/>
    <w:rsid w:val="00840A7F"/>
    <w:rsid w:val="008449A7"/>
    <w:rsid w:val="00844A81"/>
    <w:rsid w:val="00844FF3"/>
    <w:rsid w:val="00846283"/>
    <w:rsid w:val="00847576"/>
    <w:rsid w:val="0085046B"/>
    <w:rsid w:val="00851185"/>
    <w:rsid w:val="008513D4"/>
    <w:rsid w:val="00853454"/>
    <w:rsid w:val="008605A3"/>
    <w:rsid w:val="008651EF"/>
    <w:rsid w:val="008653D8"/>
    <w:rsid w:val="00867D73"/>
    <w:rsid w:val="008731D8"/>
    <w:rsid w:val="00876649"/>
    <w:rsid w:val="0087717D"/>
    <w:rsid w:val="00877F30"/>
    <w:rsid w:val="00877F5B"/>
    <w:rsid w:val="0089355D"/>
    <w:rsid w:val="008940D3"/>
    <w:rsid w:val="00894657"/>
    <w:rsid w:val="00894E30"/>
    <w:rsid w:val="0089541C"/>
    <w:rsid w:val="00895FE3"/>
    <w:rsid w:val="008961E1"/>
    <w:rsid w:val="008A5082"/>
    <w:rsid w:val="008A530F"/>
    <w:rsid w:val="008B3EAC"/>
    <w:rsid w:val="008B7604"/>
    <w:rsid w:val="008C529E"/>
    <w:rsid w:val="008C5527"/>
    <w:rsid w:val="008D2633"/>
    <w:rsid w:val="008D296A"/>
    <w:rsid w:val="008D31E4"/>
    <w:rsid w:val="008D398B"/>
    <w:rsid w:val="008D3E5A"/>
    <w:rsid w:val="008E4554"/>
    <w:rsid w:val="008F3CD1"/>
    <w:rsid w:val="0090100E"/>
    <w:rsid w:val="00904BBA"/>
    <w:rsid w:val="009050BE"/>
    <w:rsid w:val="00907134"/>
    <w:rsid w:val="00910C6F"/>
    <w:rsid w:val="00916052"/>
    <w:rsid w:val="00916876"/>
    <w:rsid w:val="00923140"/>
    <w:rsid w:val="0092798F"/>
    <w:rsid w:val="00933E62"/>
    <w:rsid w:val="00937A87"/>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84F76"/>
    <w:rsid w:val="00991074"/>
    <w:rsid w:val="00992014"/>
    <w:rsid w:val="009B33BD"/>
    <w:rsid w:val="009B633A"/>
    <w:rsid w:val="009B67D8"/>
    <w:rsid w:val="009C268F"/>
    <w:rsid w:val="009C2E73"/>
    <w:rsid w:val="009D0E74"/>
    <w:rsid w:val="009D1844"/>
    <w:rsid w:val="009D4D59"/>
    <w:rsid w:val="009F2527"/>
    <w:rsid w:val="00A012E8"/>
    <w:rsid w:val="00A15C4F"/>
    <w:rsid w:val="00A20782"/>
    <w:rsid w:val="00A26426"/>
    <w:rsid w:val="00A35231"/>
    <w:rsid w:val="00A37E79"/>
    <w:rsid w:val="00A40C30"/>
    <w:rsid w:val="00A43622"/>
    <w:rsid w:val="00A502E5"/>
    <w:rsid w:val="00A52261"/>
    <w:rsid w:val="00A537E8"/>
    <w:rsid w:val="00A541B8"/>
    <w:rsid w:val="00A54674"/>
    <w:rsid w:val="00A60007"/>
    <w:rsid w:val="00A6552F"/>
    <w:rsid w:val="00A746E7"/>
    <w:rsid w:val="00A828D9"/>
    <w:rsid w:val="00A87F18"/>
    <w:rsid w:val="00A90591"/>
    <w:rsid w:val="00A94362"/>
    <w:rsid w:val="00A94A04"/>
    <w:rsid w:val="00AA1383"/>
    <w:rsid w:val="00AA2A38"/>
    <w:rsid w:val="00AA329C"/>
    <w:rsid w:val="00AA6D85"/>
    <w:rsid w:val="00AB04CB"/>
    <w:rsid w:val="00AB07BA"/>
    <w:rsid w:val="00AC16F3"/>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6BA"/>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1D5E"/>
    <w:rsid w:val="00BB2B57"/>
    <w:rsid w:val="00BB55F7"/>
    <w:rsid w:val="00BB77BF"/>
    <w:rsid w:val="00BC6A28"/>
    <w:rsid w:val="00BD013D"/>
    <w:rsid w:val="00BD24CE"/>
    <w:rsid w:val="00BE1199"/>
    <w:rsid w:val="00BE68B8"/>
    <w:rsid w:val="00BE78CA"/>
    <w:rsid w:val="00BF1FC3"/>
    <w:rsid w:val="00BF4365"/>
    <w:rsid w:val="00BF5BE7"/>
    <w:rsid w:val="00BF7462"/>
    <w:rsid w:val="00C01099"/>
    <w:rsid w:val="00C03A97"/>
    <w:rsid w:val="00C06195"/>
    <w:rsid w:val="00C11067"/>
    <w:rsid w:val="00C145FA"/>
    <w:rsid w:val="00C20A81"/>
    <w:rsid w:val="00C223D2"/>
    <w:rsid w:val="00C22616"/>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44D2"/>
    <w:rsid w:val="00C66FA7"/>
    <w:rsid w:val="00C678A9"/>
    <w:rsid w:val="00C70392"/>
    <w:rsid w:val="00C720B1"/>
    <w:rsid w:val="00C77192"/>
    <w:rsid w:val="00C90759"/>
    <w:rsid w:val="00C92BEE"/>
    <w:rsid w:val="00C94909"/>
    <w:rsid w:val="00C954D7"/>
    <w:rsid w:val="00CA43CC"/>
    <w:rsid w:val="00CB041E"/>
    <w:rsid w:val="00CB6EDE"/>
    <w:rsid w:val="00CC3293"/>
    <w:rsid w:val="00CC4A76"/>
    <w:rsid w:val="00CC5837"/>
    <w:rsid w:val="00CD16CC"/>
    <w:rsid w:val="00CD292A"/>
    <w:rsid w:val="00CD6F63"/>
    <w:rsid w:val="00CE0537"/>
    <w:rsid w:val="00CE511C"/>
    <w:rsid w:val="00CE75B0"/>
    <w:rsid w:val="00CF14B9"/>
    <w:rsid w:val="00CF1CB1"/>
    <w:rsid w:val="00CF74D3"/>
    <w:rsid w:val="00D03943"/>
    <w:rsid w:val="00D05462"/>
    <w:rsid w:val="00D129F8"/>
    <w:rsid w:val="00D1673E"/>
    <w:rsid w:val="00D20F0A"/>
    <w:rsid w:val="00D21A58"/>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31C9"/>
    <w:rsid w:val="00DB5A4C"/>
    <w:rsid w:val="00DB670C"/>
    <w:rsid w:val="00DC3DA6"/>
    <w:rsid w:val="00DC52A1"/>
    <w:rsid w:val="00DC682F"/>
    <w:rsid w:val="00DD2203"/>
    <w:rsid w:val="00DD2E0C"/>
    <w:rsid w:val="00DD4AE7"/>
    <w:rsid w:val="00DE63E9"/>
    <w:rsid w:val="00DE6B26"/>
    <w:rsid w:val="00DF3CE3"/>
    <w:rsid w:val="00DF6D8C"/>
    <w:rsid w:val="00E00C1A"/>
    <w:rsid w:val="00E034AA"/>
    <w:rsid w:val="00E053BE"/>
    <w:rsid w:val="00E14981"/>
    <w:rsid w:val="00E17D9A"/>
    <w:rsid w:val="00E21177"/>
    <w:rsid w:val="00E27BAE"/>
    <w:rsid w:val="00E337F9"/>
    <w:rsid w:val="00E34BBE"/>
    <w:rsid w:val="00E4425F"/>
    <w:rsid w:val="00E46AD2"/>
    <w:rsid w:val="00E54615"/>
    <w:rsid w:val="00E56DBD"/>
    <w:rsid w:val="00E636EF"/>
    <w:rsid w:val="00E64B85"/>
    <w:rsid w:val="00E7742C"/>
    <w:rsid w:val="00E85D57"/>
    <w:rsid w:val="00E9092D"/>
    <w:rsid w:val="00E91382"/>
    <w:rsid w:val="00E95A54"/>
    <w:rsid w:val="00E963A9"/>
    <w:rsid w:val="00E97929"/>
    <w:rsid w:val="00EA241D"/>
    <w:rsid w:val="00EB1381"/>
    <w:rsid w:val="00EB56E6"/>
    <w:rsid w:val="00EC51EA"/>
    <w:rsid w:val="00EC5CAA"/>
    <w:rsid w:val="00EC67F9"/>
    <w:rsid w:val="00EC6D7A"/>
    <w:rsid w:val="00EC72A5"/>
    <w:rsid w:val="00ED0833"/>
    <w:rsid w:val="00ED6306"/>
    <w:rsid w:val="00ED7316"/>
    <w:rsid w:val="00EE0575"/>
    <w:rsid w:val="00EF06CB"/>
    <w:rsid w:val="00EF27B5"/>
    <w:rsid w:val="00EF3B3C"/>
    <w:rsid w:val="00EF4C4A"/>
    <w:rsid w:val="00EF5203"/>
    <w:rsid w:val="00F04405"/>
    <w:rsid w:val="00F11AE5"/>
    <w:rsid w:val="00F1335B"/>
    <w:rsid w:val="00F16D0D"/>
    <w:rsid w:val="00F256A6"/>
    <w:rsid w:val="00F266A8"/>
    <w:rsid w:val="00F269FD"/>
    <w:rsid w:val="00F27EE8"/>
    <w:rsid w:val="00F30080"/>
    <w:rsid w:val="00F30BB8"/>
    <w:rsid w:val="00F31983"/>
    <w:rsid w:val="00F35AC6"/>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3220"/>
    <w:rsid w:val="00FA4355"/>
    <w:rsid w:val="00FB2BC7"/>
    <w:rsid w:val="00FB782F"/>
    <w:rsid w:val="00FC1B8A"/>
    <w:rsid w:val="00FC3A35"/>
    <w:rsid w:val="00FC3D14"/>
    <w:rsid w:val="00FD34E7"/>
    <w:rsid w:val="00FE65AE"/>
    <w:rsid w:val="00FE786C"/>
    <w:rsid w:val="00FE7E1C"/>
    <w:rsid w:val="00FF12DB"/>
    <w:rsid w:val="00FF5260"/>
    <w:rsid w:val="00FF74D4"/>
    <w:rsid w:val="02E650AB"/>
    <w:rsid w:val="02F72AEC"/>
    <w:rsid w:val="03342D85"/>
    <w:rsid w:val="038D79B7"/>
    <w:rsid w:val="047D1B6E"/>
    <w:rsid w:val="04BF260B"/>
    <w:rsid w:val="060A7F0C"/>
    <w:rsid w:val="09AD6219"/>
    <w:rsid w:val="0A107177"/>
    <w:rsid w:val="0B4453CD"/>
    <w:rsid w:val="0C453A64"/>
    <w:rsid w:val="0DBB266A"/>
    <w:rsid w:val="0DD036B5"/>
    <w:rsid w:val="0E4E7E7B"/>
    <w:rsid w:val="0FC85F3C"/>
    <w:rsid w:val="10030D22"/>
    <w:rsid w:val="106F0560"/>
    <w:rsid w:val="10E54153"/>
    <w:rsid w:val="114F7185"/>
    <w:rsid w:val="14E5401B"/>
    <w:rsid w:val="15A57173"/>
    <w:rsid w:val="167364D6"/>
    <w:rsid w:val="1789621C"/>
    <w:rsid w:val="188718D8"/>
    <w:rsid w:val="189015C1"/>
    <w:rsid w:val="1A6B5E42"/>
    <w:rsid w:val="1D602818"/>
    <w:rsid w:val="1FE65F6B"/>
    <w:rsid w:val="20817E50"/>
    <w:rsid w:val="217A4BBD"/>
    <w:rsid w:val="23FD207E"/>
    <w:rsid w:val="241430A6"/>
    <w:rsid w:val="24D36535"/>
    <w:rsid w:val="25775188"/>
    <w:rsid w:val="27515CDC"/>
    <w:rsid w:val="2B7E34FB"/>
    <w:rsid w:val="2BA61F9C"/>
    <w:rsid w:val="2BB81936"/>
    <w:rsid w:val="2D3C23FE"/>
    <w:rsid w:val="2EB16F5A"/>
    <w:rsid w:val="2FA85F14"/>
    <w:rsid w:val="2FCB33F0"/>
    <w:rsid w:val="3015665D"/>
    <w:rsid w:val="33641268"/>
    <w:rsid w:val="33A15FD9"/>
    <w:rsid w:val="340C0F9D"/>
    <w:rsid w:val="35126EA7"/>
    <w:rsid w:val="35415CC5"/>
    <w:rsid w:val="358F5DF9"/>
    <w:rsid w:val="37240250"/>
    <w:rsid w:val="38593326"/>
    <w:rsid w:val="395D0150"/>
    <w:rsid w:val="39F552D0"/>
    <w:rsid w:val="3B7A6D4C"/>
    <w:rsid w:val="3D931088"/>
    <w:rsid w:val="3E646B18"/>
    <w:rsid w:val="3EC2015A"/>
    <w:rsid w:val="3F7C0431"/>
    <w:rsid w:val="40B94D77"/>
    <w:rsid w:val="411B434D"/>
    <w:rsid w:val="42595F30"/>
    <w:rsid w:val="42BD5522"/>
    <w:rsid w:val="430F3A6E"/>
    <w:rsid w:val="43340C18"/>
    <w:rsid w:val="435412BA"/>
    <w:rsid w:val="43A47936"/>
    <w:rsid w:val="448C54BB"/>
    <w:rsid w:val="4512577F"/>
    <w:rsid w:val="466038FE"/>
    <w:rsid w:val="471B7567"/>
    <w:rsid w:val="47887B38"/>
    <w:rsid w:val="49115557"/>
    <w:rsid w:val="4A8E50B1"/>
    <w:rsid w:val="4A8F5981"/>
    <w:rsid w:val="4D5A127B"/>
    <w:rsid w:val="4D7B6650"/>
    <w:rsid w:val="4DFD6E89"/>
    <w:rsid w:val="50EE68AA"/>
    <w:rsid w:val="530618E0"/>
    <w:rsid w:val="535B23F4"/>
    <w:rsid w:val="54B94AEC"/>
    <w:rsid w:val="577675F9"/>
    <w:rsid w:val="58B0576B"/>
    <w:rsid w:val="59576FB6"/>
    <w:rsid w:val="5B57504B"/>
    <w:rsid w:val="5B671F92"/>
    <w:rsid w:val="5B7F45A2"/>
    <w:rsid w:val="5C711A3B"/>
    <w:rsid w:val="5C7D2BB8"/>
    <w:rsid w:val="5D0A33CF"/>
    <w:rsid w:val="5DD80DC3"/>
    <w:rsid w:val="5E5925BD"/>
    <w:rsid w:val="5E5F4EE4"/>
    <w:rsid w:val="5E9B6682"/>
    <w:rsid w:val="5EC11A00"/>
    <w:rsid w:val="5F180F96"/>
    <w:rsid w:val="5F822615"/>
    <w:rsid w:val="5F8B456D"/>
    <w:rsid w:val="60F14539"/>
    <w:rsid w:val="618B3638"/>
    <w:rsid w:val="61994610"/>
    <w:rsid w:val="635C141B"/>
    <w:rsid w:val="64746C6E"/>
    <w:rsid w:val="64A84B6A"/>
    <w:rsid w:val="653B572C"/>
    <w:rsid w:val="65586590"/>
    <w:rsid w:val="65A43FC9"/>
    <w:rsid w:val="65F12289"/>
    <w:rsid w:val="66965720"/>
    <w:rsid w:val="67680CC1"/>
    <w:rsid w:val="678E6299"/>
    <w:rsid w:val="6840387F"/>
    <w:rsid w:val="68E454D3"/>
    <w:rsid w:val="69F34AD9"/>
    <w:rsid w:val="6AAC36BF"/>
    <w:rsid w:val="6B023E01"/>
    <w:rsid w:val="6B340066"/>
    <w:rsid w:val="6C501A07"/>
    <w:rsid w:val="6C7F7ABA"/>
    <w:rsid w:val="6E8D2CDC"/>
    <w:rsid w:val="6F9603E0"/>
    <w:rsid w:val="715513E4"/>
    <w:rsid w:val="719170B1"/>
    <w:rsid w:val="71BD19EB"/>
    <w:rsid w:val="721D203F"/>
    <w:rsid w:val="727A5D97"/>
    <w:rsid w:val="73075151"/>
    <w:rsid w:val="736425A4"/>
    <w:rsid w:val="73DC213A"/>
    <w:rsid w:val="746A6B1A"/>
    <w:rsid w:val="75206F1D"/>
    <w:rsid w:val="7578360E"/>
    <w:rsid w:val="75B23186"/>
    <w:rsid w:val="76C515AB"/>
    <w:rsid w:val="77D93692"/>
    <w:rsid w:val="79C30143"/>
    <w:rsid w:val="79DB71E9"/>
    <w:rsid w:val="7A98194F"/>
    <w:rsid w:val="7B5E3716"/>
    <w:rsid w:val="7B7106DA"/>
    <w:rsid w:val="7BA81A06"/>
    <w:rsid w:val="7BC77C70"/>
    <w:rsid w:val="7C9E6B26"/>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9"/>
    <w:link w:val="65"/>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62"/>
    <w:qFormat/>
    <w:uiPriority w:val="0"/>
    <w:pPr>
      <w:ind w:firstLine="830" w:firstLineChars="352"/>
    </w:pPr>
    <w:rPr>
      <w:rFonts w:ascii="仿宋_GB2312" w:eastAsia="仿宋_GB2312"/>
      <w:sz w:val="32"/>
      <w:szCs w:val="20"/>
    </w:rPr>
  </w:style>
  <w:style w:type="paragraph" w:styleId="11">
    <w:name w:val="Plain Text"/>
    <w:basedOn w:val="1"/>
    <w:next w:val="5"/>
    <w:link w:val="61"/>
    <w:qFormat/>
    <w:uiPriority w:val="0"/>
    <w:rPr>
      <w:rFonts w:ascii="宋体" w:hAnsi="Courier New" w:cs="Courier New"/>
      <w:szCs w:val="21"/>
    </w:rPr>
  </w:style>
  <w:style w:type="paragraph" w:styleId="12">
    <w:name w:val="Balloon Text"/>
    <w:basedOn w:val="1"/>
    <w:link w:val="59"/>
    <w:semiHidden/>
    <w:unhideWhenUsed/>
    <w:qFormat/>
    <w:uiPriority w:val="99"/>
    <w:rPr>
      <w:sz w:val="18"/>
      <w:szCs w:val="18"/>
    </w:rPr>
  </w:style>
  <w:style w:type="paragraph" w:styleId="13">
    <w:name w:val="footer"/>
    <w:basedOn w:val="1"/>
    <w:link w:val="24"/>
    <w:unhideWhenUsed/>
    <w:qFormat/>
    <w:uiPriority w:val="99"/>
    <w:pPr>
      <w:tabs>
        <w:tab w:val="center" w:pos="4153"/>
        <w:tab w:val="right" w:pos="8306"/>
      </w:tabs>
      <w:snapToGrid w:val="0"/>
      <w:jc w:val="left"/>
    </w:pPr>
    <w:rPr>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qFormat/>
    <w:uiPriority w:val="0"/>
    <w:rPr>
      <w:sz w:val="21"/>
      <w:szCs w:val="21"/>
    </w:rPr>
  </w:style>
  <w:style w:type="character" w:customStyle="1" w:styleId="23">
    <w:name w:val="页眉 Char"/>
    <w:basedOn w:val="19"/>
    <w:link w:val="14"/>
    <w:qFormat/>
    <w:uiPriority w:val="99"/>
    <w:rPr>
      <w:sz w:val="18"/>
      <w:szCs w:val="18"/>
    </w:rPr>
  </w:style>
  <w:style w:type="character" w:customStyle="1" w:styleId="24">
    <w:name w:val="页脚 Char"/>
    <w:basedOn w:val="19"/>
    <w:link w:val="13"/>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2"/>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1"/>
    <w:qFormat/>
    <w:uiPriority w:val="0"/>
    <w:rPr>
      <w:rFonts w:ascii="宋体" w:hAnsi="Courier New" w:eastAsia="宋体" w:cs="Courier New"/>
      <w:szCs w:val="21"/>
    </w:rPr>
  </w:style>
  <w:style w:type="character" w:customStyle="1" w:styleId="62">
    <w:name w:val="正文文本缩进 Char"/>
    <w:basedOn w:val="19"/>
    <w:link w:val="10"/>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4"/>
    <w:qFormat/>
    <w:uiPriority w:val="9"/>
    <w:rPr>
      <w:rFonts w:ascii="Cambria" w:hAnsi="Cambria" w:eastAsia="宋体" w:cs="Times New Roman"/>
      <w:b/>
      <w:bCs/>
      <w:sz w:val="32"/>
      <w:szCs w:val="32"/>
    </w:rPr>
  </w:style>
  <w:style w:type="character" w:customStyle="1" w:styleId="65">
    <w:name w:val="正文文本 Char"/>
    <w:basedOn w:val="19"/>
    <w:link w:val="8"/>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D16D13-9A79-4744-BEAF-7C352DBF11A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6274</Words>
  <Characters>6655</Characters>
  <Lines>63</Lines>
  <Paragraphs>17</Paragraphs>
  <TotalTime>95</TotalTime>
  <ScaleCrop>false</ScaleCrop>
  <LinksUpToDate>false</LinksUpToDate>
  <CharactersWithSpaces>8068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2023-07-25T01:05:00Z</dcterms:created>
  <dc:creator>lenovo</dc:creator>
  <cp:lastModifiedBy>WPS_1648709995</cp:lastModifiedBy>
  <cp:lastPrinted>2021-11-08T03:25:00Z</cp:lastPrinted>
  <dcterms:modified xsi:type="dcterms:W3CDTF">2023-08-21T01:45:14Z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E856BC52A9A54C579C44238FD7B852DF</vt:lpwstr>
  </property>
</Properties>
</file>